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15.2018.34 vom 5. Oktober 2018</w:t>
      </w:r>
    </w:p>
    <w:p>
      <w:r>
        <w:t>TI Tribunale d'appello, 2018-10-05, IT</w:t>
      </w:r>
    </w:p>
    <w:p>
      <w:r>
        <w:rPr>
          <w:b/>
        </w:rPr>
        <w:t xml:space="preserve">Quelle: </w:t>
      </w:r>
      <w:r>
        <w:t>https://mcp.opencaselaw.ch/entscheid/ti_gerichte_15.2018.34</w:t>
      </w:r>
    </w:p>
    <w:p>
      <w:r>
        <w:t>FR: TI_GERICHTE 15.2018.34 du 5 octobre 2018</w:t>
      </w:r>
    </w:p>
    <w:p>
      <w:r>
        <w:t>IT: TI_GERICHTE 15.2018.34 del 5 ottobre 2018</w:t>
      </w:r>
    </w:p>
    <w:p>
      <w:pPr>
        <w:pStyle w:val="Heading2"/>
      </w:pPr>
      <w:r>
        <w:t>Regeste</w:t>
      </w:r>
    </w:p>
    <w:p>
      <w:r>
        <w:t>Ricorso contro la richiesta di anticipo delle spese di realizzazione</w:t>
      </w:r>
    </w:p>
    <w:p>
      <w:pPr>
        <w:pStyle w:val="Heading2"/>
      </w:pPr>
      <w:r>
        <w:t>Erwägungen</w:t>
      </w:r>
    </w:p>
    <w:p>
      <w:r>
        <w:rPr>
          <w:b/>
        </w:rPr>
        <w:t>E. 5</w:t>
      </w:r>
    </w:p>
    <w:p>
      <w:r>
        <w:t>aprile 2018 nelle esecuzioni n. __________ e __________ promosse dal ricorrente nei confronti di PI 1 , __________ Ritenuto in fatto:                    A. Sulla scorta dei precetti esecutivi n. __________ e __________ emessi il 3 novembre 2016 dall’Ufficio di esecuzione (UE) di Faido, il Co­mune RI 1 procede contro PI 1 per l’in­casso di residui d’imposta comunale di fr. 10'756.90 (per il 2011) e di fr. 6'913.85 (per il 2010), oltre agli accessori. B. L’8 maggio 2017, l’UE ha pignorato a favore del Comune 18 oggetti d’arredo (armadi, scrivanie, sedie, tavolini, cucine ecc.) di cui PI 1 è proprietario, stimandoli complessivamente in fr. 5'000.–, e un suo credito di fr. 187'521.70 contro tale __________ stimato in fr. 1.–. C. Depositate le domande di vendita il 14 giugno 2017, il successivo 26 giugno l’UE ha diffidato il procedente a versare un anticipo di fr. 1'000.– a copertura delle spese di realizzazione, avvertendolo che le domande di realizzazione sarebbero state considerate caduche ove il deposito non fosse stato effettuato entro 20 giorni. In risposta a una richiesta di motivazione della diffida, l’UE ha precisato che l’anticipo richiesto è conforme alla prassi cantonale in materia di realizzazione di beni immobiliari. D. Il</w:t>
      </w:r>
    </w:p>
    <w:p>
      <w:r>
        <w:rPr>
          <w:b/>
        </w:rPr>
        <w:t>E. 6</w:t>
      </w:r>
    </w:p>
    <w:p>
      <w:r>
        <w:t>Per legge non si preleva la tassa di giustizia e non si assegnano indennità (art. 20 a cpv. 2 n. 5 LEF, 61 cpv. 2 lett. a e 62 cpv. 2 OTLEF [ RS 281.35 ] ). Per questi motivi, pronuncia:              1. Il ricorso è parzialmente accolto e di conseguenza il provvedimento impugnato è annullato e riformato nel senso che il RI 1 è invitato a versare all’Ufficio di esecuzione di Faido un anticipo di fr. 250.– entro 20 giorni dalla ricezione del presente giudizio. Le altre condizioni rimangono invariate. 2. Non si prelevano spese né si assegnano indennità. 3. Notificazione a: –    ; –  . Comunicazione all’Ufficio di 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