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15.2016.31 vom 2. Mai 2016</w:t>
      </w:r>
    </w:p>
    <w:p>
      <w:r>
        <w:t>TI Tribunale d'appello, 2016-05-02, IT</w:t>
      </w:r>
    </w:p>
    <w:p>
      <w:r>
        <w:rPr>
          <w:b/>
        </w:rPr>
        <w:t xml:space="preserve">Quelle: </w:t>
      </w:r>
      <w:r>
        <w:t>https://mcp.opencaselaw.ch/entscheid/ti_gerichte_15.2016.31</w:t>
      </w:r>
    </w:p>
    <w:p>
      <w:r>
        <w:t>FR: TI_GERICHTE 15.2016.31 du 2 mai 2016</w:t>
      </w:r>
    </w:p>
    <w:p>
      <w:r>
        <w:t>IT: TI_GERICHTE 15.2016.31 del 2 maggio 2016</w:t>
      </w:r>
    </w:p>
    <w:p>
      <w:pPr>
        <w:pStyle w:val="Heading2"/>
      </w:pPr>
      <w:r>
        <w:t>Regeste</w:t>
      </w:r>
    </w:p>
    <w:p>
      <w:r>
        <w:t>Ricorso contro l’avviso di pignoramento. Necessità del pignoramento anche se in precedenti esecuzioni sono stati rilasciati attestati di carenza di beni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a: –   ; – . Comunicazione all’Ufficio di esecuzione, Lugano.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