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15.2016.20 vom 24. Februar 2017</w:t>
      </w:r>
    </w:p>
    <w:p>
      <w:r>
        <w:t>TI Tribunale d'appello, 2017-02-24, IT</w:t>
      </w:r>
    </w:p>
    <w:p>
      <w:r>
        <w:rPr>
          <w:b/>
        </w:rPr>
        <w:t xml:space="preserve">Quelle: </w:t>
      </w:r>
      <w:r>
        <w:t>https://mcp.opencaselaw.ch/entscheid/ti_gerichte_15.2016.20</w:t>
      </w:r>
    </w:p>
    <w:p>
      <w:r>
        <w:t>FR: TI_GERICHTE 15.2016.20 du 24 février 2017</w:t>
      </w:r>
    </w:p>
    <w:p>
      <w:r>
        <w:t>IT: TI_GERICHTE 15.2016.20 del 24 febbraio 2017</w:t>
      </w:r>
    </w:p>
    <w:p>
      <w:pPr>
        <w:pStyle w:val="Heading2"/>
      </w:pPr>
      <w:r>
        <w:t>Erwägungen</w:t>
      </w:r>
    </w:p>
    <w:p>
      <w:r>
        <w:rPr>
          <w:b/>
        </w:rPr>
        <w:t>E. 5</w:t>
      </w:r>
    </w:p>
    <w:p>
      <w:r>
        <w:t>Nel caso in rassegna, l’istruttoria condotta dall’ispettore della Ca­mera sia in collaborazione con la polizia sia in modo autonomo, in particolare per quanto attiene alla verifica dettagliata degli incarti della PI 2 gestiti da DN 1, non hanno evidenziato chiare infrazioni punibili disciplinarmente oltre a quelle sanzionate sul piano penale.</w:t>
      </w:r>
    </w:p>
    <w:p>
      <w:r>
        <w:rPr>
          <w:b/>
        </w:rPr>
        <w:t>E. 5.1</w:t>
      </w:r>
    </w:p>
    <w:p>
      <w:r>
        <w:t>In particolare, la “flessibilità” dimostrata dal segnalato nei confronti della PI 2 non può essere considerata con certezza come un trattamento di favore, siccome una certa tolleranza rispetto ai termini di realizzazione stabiliti dalla legge è prassi assai diffusa negli UE, specialmente quando l’escusso paga, pure con ritardo, rate, acconti o esecuzioni, e ciò anche nell’interesse e a volte con l’accordo tacito degli stessi creditori. Anche l’annul­­lamento della notifica del pignoramento del credito della PI 2 contro l’__________ potrebbe spiegarsi con tale volontà di conciliare gli interessi del debitore e dei creditori (peraltro contemplato all’art. 95 cpv. 5 LEF). Lo stesso dicasi della consulenza fornita dal segnalato sulle istanze di fallimento notificate alla società. Non è d’altronde stato identificato il responsabile della mancata registrazione di talune domande di realizzazione nel sistema informatico né accertato il carattere colposo di tale negligenza. Infine, non è stato dimostrato che DN 1 abbia collaborato durante le ore di lavoro alle pratiche gestite dalla moglie né di avere gestito incarti di debitori di cui si occupava la moglie. Accertamenti più approfonditi sui fatti appena esposti non appaiono poi opportuni, dal momento che il rapporto d’im­­piego del segnalato è terminato il 1° settembre 2016 (sopra ad E), sicché eventuali sanzioni disciplinari aggiuntive non potrebbero più avere alcun effetto preventivo.</w:t>
      </w:r>
    </w:p>
    <w:p>
      <w:r>
        <w:rPr>
          <w:b/>
        </w:rPr>
        <w:t>E. 5.2</w:t>
      </w:r>
    </w:p>
    <w:p>
      <w:r>
        <w:t>L’accettazione di vantaggi (art. 322 sexies CP), invece, costituisce chiaramente un comportamento di rilevanza anche disciplinare. Invero, dirigere l’asta di un veicolo sapendo che sarebbe stato messo a disposizione del figlio contravviene già di per sé al dovere di astenersi negli affari di parenti (art. 10 cpv. 1 n. 2 bis LEF) a prescindere se ciò costituisca o no un vantaggio nel senso dell’art. 322 sexies CP. Ad ogni modo l’infrazione disciplinare risulta assorbita dal reato per cui il segnalato è già stato punito sul piano penale (sopra ad F). Non essendo, come visto, state riscontrate altre violazioni dei doveri del funzionario esulanti dalle fattispecie che hanno condotto alla condanna penale, occorre in definitiva rinunciare a infliggere al denunciato una sanzione disciplinare (sopra consid. 4 in fine). Per questi motivi, pronuncia:              1. In considerazione delle sanzioni in cui DN 1 è già incorso per i medesimi fatti sul piano penale, si prescinde dall’in­­fliggergli una sanzione disciplinare. 2. Non si prelevano spese. 3 .   Notificazione a: – avv.   , ; – ; – , , (riservata); – , ,  (riservata). Per la Camera di esecuzione e fallimenti del Tribunale d’appello Il presidente                                                          Il vicecancelliere Rimedi giuridici Contro la presente decisione è possibile presentare ricorso in materia civile al Tribunale federale, 1000 Losanna (art. 72 e segg. LTF), entro 10 giorni dalla notificazione (art. 100 cpv. 2 lett. a LTF), con la limitazione di cui all’art.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