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15.2014.115 vom 27. Oktober 2014</w:t>
      </w:r>
    </w:p>
    <w:p>
      <w:r>
        <w:t>TI Tribunale d'appello, 2014-10-27, IT</w:t>
      </w:r>
    </w:p>
    <w:p>
      <w:r>
        <w:rPr>
          <w:b/>
        </w:rPr>
        <w:t xml:space="preserve">Quelle: </w:t>
      </w:r>
      <w:r>
        <w:t>https://mcp.opencaselaw.ch/entscheid/ti_gerichte_15.2014.115</w:t>
      </w:r>
    </w:p>
    <w:p>
      <w:r>
        <w:t>FR: TI_GERICHTE 15.2014.115 du 27 octobre 2014</w:t>
      </w:r>
    </w:p>
    <w:p>
      <w:r>
        <w:t>IT: TI_GERICHTE 15.2014.115 del 27 ottobre 2014</w:t>
      </w:r>
    </w:p>
    <w:p>
      <w:pPr>
        <w:pStyle w:val="Heading2"/>
      </w:pPr>
      <w:r>
        <w:t>Regeste</w:t>
      </w:r>
    </w:p>
    <w:p>
      <w:r>
        <w:t>Ricorso contro l’inventario degli oggetti vincolati da un diritto di ritenzione. Impignorabilità dei beni necessari al debitore e alla sua famiglia per l’esercizio della professione. Inapplicabilità alle persone giuridiche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–; –. Comunicazione all’Ufficio di esecuzione e fallimenti di Leventina.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