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15.2013.70 vom 26. August 2013</w:t>
      </w:r>
    </w:p>
    <w:p>
      <w:r>
        <w:t>TI Tribunale d'appello, 2013-08-26, IT</w:t>
      </w:r>
    </w:p>
    <w:p>
      <w:r>
        <w:rPr>
          <w:b/>
        </w:rPr>
        <w:t xml:space="preserve">Quelle: </w:t>
      </w:r>
      <w:r>
        <w:t>https://mcp.opencaselaw.ch/entscheid/ti_gerichte_15.2013.70</w:t>
      </w:r>
    </w:p>
    <w:p>
      <w:r>
        <w:t>FR: TI_GERICHTE 15.2013.70 du 26 août 2013</w:t>
      </w:r>
    </w:p>
    <w:p>
      <w:r>
        <w:t>IT: TI_GERICHTE 15.2013.70 del 26 agosto 2013</w:t>
      </w:r>
    </w:p>
    <w:p>
      <w:pPr>
        <w:pStyle w:val="Heading2"/>
      </w:pPr>
      <w:r>
        <w:t>Regeste</w:t>
      </w:r>
    </w:p>
    <w:p>
      <w:r>
        <w:t>Elenco oneri e graduatoria fallimentare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Fatta salva la facoltà d'insinuare (nuovi) crediti fino alla chiusura del fallimento (art. 251 LEF), una volta passati in giudicato, la graduatoria e l’elenco oneri, che ne costituisce parte integrante (art. 247 cpv. 2 LEF), non possono più di regola essere modificati (cfr. DTF 56 III 22; Staehelin , Basler Kommentar zum SchKG, vol. II, Basilea 2010, n. 7 ad art. 261; Jaeger/Walder/Kull/Kottmann, Bundesgesetz über Schuldbetreibung und Konkurs, vol. II, 4a ed., Zurigo 1997, n. 5 ad art. 257; Bürgi, Basler Kommentar zum SchKG, vol. II, Basilea 2010 , n.</w:t>
      </w:r>
    </w:p>
    <w:p>
      <w:r>
        <w:rPr>
          <w:b/>
        </w:rPr>
        <w:t>E. 1.1</w:t>
      </w:r>
    </w:p>
    <w:p>
      <w:r>
        <w:t>In concreto nessuna di queste eccezioni appare realizzata. In particolare non si evince dagli atti che PI 5 abbia ottenuto l’i­scrizione delle proprie pretese nell’elenco oneri e nella graduatoria grazie ad un atto illecito e neppure trattansi di pretese iscritte in modo chiaramente errato. Il ricorrente non contesta infatti che PI 5 detenga la cartella al portatore gravante in secondo grado il fondo della fallita – la quale dovrà in ogni caso essere consegnata all’Ufficio in sede di realizzazione del fondo – né che il credito di fr. 13'798.00 gli sia stato ceduto da I__________ SA. Non è d’altronde credibile la sua affermazione, non sostenuta dal benché minimo indizio oggettivo, secondo cui I__________ SA avrebbe ceduto la cartella ipotecaria a PI 5 a garanzia del suo credito di fr. 13'798.00, giacché in sede di verifica delle insinuazioni egli aveva riconosciuto entrambi i crediti, peraltro chiaramente menzionati nell’in­sinuazione l’uno separatamente dall’altro (sub lett. a per il primo e lett. b per il secondo), e con successiva dichiarazione sottoscritta il 4 aprile 2013 presso l’CO 1, ha attestato, ancora diversamente da quanto in seguito asserito nella lettera del 4 giugno 2013 e nel ricorso, che PI 5 avrebbe acquistato la nota cartella ipotecaria per fr. 40'000.00 dall’ammini­stra­tore unico di I__________ SA, senza tuttavia menzionare alcuna garanzia a favore del credito di fr. 13'798.00, ipotesi peraltro inverosimile dato l’importo asseritamente pagato dal cessionario. In ogni caso l’unica persona legittimata a sollevare la censura ricorsuale sarebbe la stessa I__________ SA e non la fallita, siccome quest’ultima nemmeno allega di aver trasmesso la cartella ad I__________ SA a garanzia unicamente del credito di fr. 13'798.00.</w:t>
      </w:r>
    </w:p>
    <w:p>
      <w:r>
        <w:rPr>
          <w:b/>
        </w:rPr>
        <w:t>E. 1.2</w:t>
      </w:r>
    </w:p>
    <w:p>
      <w:r>
        <w:t>L’Autorità di vigilanza deve, di principio, forzatamente prescindere dal decidere questioni di diritto materiale relative all’esistenza dei crediti inseriti nell’elenco degli oneri. Nel caso in esame le pretese di PI 5 sono state iscritte nella graduatoria e nell’elenco     oneri relativo alla particella di proprietà della fallita senza provocare alcuna contestazione: non essendo stati impugnati l’elenco oneri e la graduatoria i crediti di PI 5 sono divenuti definitivi. Nessun motivo di nullità pare d’altronde dato. Per questo motivo corretto è stato l’operato dell’RA 1 che il 7 giugno 2013 ha comunicato al ricorrente che la graduatoria e l’elenco oneri sono passati in giudicato e pertanto non possono più essere modificati. 2. Ne discende che il ricorso va respinto. Non si prelevano spese (art. 61 cpv. 2 lett. a OTLEF) e non si assegnano indennità (art. 62 cpv. 2 OTLEF). Per questi motivi, richiamati gli art. 17, 246, 247 cpv. 2 LEF; 58 RUF; 125, 249 RFF; 61 e 62 OTLEF pronuncia: 1. Il ricorso è respinto. 2. Non si prelevano spese né si assegnano indennità. 3 .   Notificazione a: –      ; – ; –   ; –   ; –    ; –   ; –   ; –   ; –   ; –    ; –    ; –    ; –   ; –   ; –   ; –   ; –    ; –    . Comunicazione all’RA 1, __________. Per la Camera di esecuzione e fallimenti del Tribunale d’appello Il presidente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>
      <w:r>
        <w:rPr>
          <w:b/>
        </w:rPr>
        <w:t>E. 4</w:t>
      </w:r>
    </w:p>
    <w:p>
      <w:r>
        <w:t>ad art. 257), salvo casi eccezionali ( Staehelin, op. cit., n.</w:t>
      </w:r>
    </w:p>
    <w:p>
      <w:r>
        <w:rPr>
          <w:b/>
        </w:rPr>
        <w:t>E. 8</w:t>
      </w:r>
    </w:p>
    <w:p>
      <w:r>
        <w:t>ad art. 261), segnatamente se un credito è stato ammesso o scartato in modo manifestamente errato per un’inavvertenza dell’ammini­strazione del fallimento, se un rapporto giuridico si è modificato o fatti nuovi sono intervenuti dopo il deposito (DTF 138 III 437 consid. 4; STF 5A_705/2012 del 6 dicembre 2012, consid. 5.2) oppure l’am­missione del credito è stata ottenuta con un’insinuazione fraudolenta (DTF 87 III 84-85 consid. 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