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15.2013.68 vom 26. Juli 2013</w:t>
      </w:r>
    </w:p>
    <w:p>
      <w:r>
        <w:t>TI Tribunale d'appello, 2013-07-26, IT</w:t>
      </w:r>
    </w:p>
    <w:p>
      <w:r>
        <w:rPr>
          <w:b/>
        </w:rPr>
        <w:t xml:space="preserve">Quelle: </w:t>
      </w:r>
      <w:r>
        <w:t>https://mcp.opencaselaw.ch/entscheid/ti_gerichte_15.2013.68</w:t>
      </w:r>
    </w:p>
    <w:p>
      <w:r>
        <w:t>FR: TI_GERICHTE 15.2013.68 du 26 juillet 2013</w:t>
      </w:r>
    </w:p>
    <w:p>
      <w:r>
        <w:t>IT: TI_GERICHTE 15.2013.68 del 26 luglio 2013</w:t>
      </w:r>
    </w:p>
    <w:p>
      <w:pPr>
        <w:pStyle w:val="Heading2"/>
      </w:pPr>
      <w:r>
        <w:t>Regeste</w:t>
      </w:r>
    </w:p>
    <w:p>
      <w:r>
        <w:t>Privilegi di determinati creditori nell’ambito del pignoramento</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(DTF 108 III 13). Anche la questione della pignorabilità va esaminata d’ufficio.</w:t>
      </w:r>
    </w:p>
    <w:p>
      <w:r>
        <w:rPr>
          <w:b/>
        </w:rPr>
        <w:t>E. 2</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Basilea 2010,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3</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4</w:t>
      </w:r>
    </w:p>
    <w:p>
      <w:r>
        <w:t>Per quanto riguarda il prospettato conteggio nella determinazione del minimo vitale di fr. 1’000.00 mensili per il pagamento di interessi rispettivamente per il rimborso di un prestito bancario, va evidenziato che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Tale indirizzo giurisprudenziale concretizza l’intento del legislatore di lasciare all’escusso e alla sua famiglia quanto è assolutamente indispensabile in base agli articoli 92 e 93 LEF per soddisfare i bisogni più elementari. È di tutta evidenza che la deduzione prospettata dal ricorrente per il pagamento di interessi rispettivamente per il rimborso di un prestito bancario, importo che l’escusso neppure pretende essere dovuto a creditori privilegiati, non può entrare in linea di conto per il calcolo del minimo vitale: alla luce dei principi giurisprudenziali richiamati, nulla giustifica il privilegio che il debitore pretende sia concesso all’istituto bancario. Abbondanzialmente si rileva altresì che non vi sarebbe alcuna garanzia che gli importi di cui si chiede la deduzione vengano effettivamente versati ai creditori.</w:t>
      </w:r>
    </w:p>
    <w:p>
      <w:r>
        <w:rPr>
          <w:b/>
        </w:rPr>
        <w:t>E. 5</w:t>
      </w:r>
    </w:p>
    <w:p>
      <w:r>
        <w:t>Ne discende che il ricorso va respinto. Non si prelevano spese (art. 61 cpv. 2 lett. a OTLEF) e non si assegnano indennità (art. 62 cpv. 2 OTLEF). Per questi motivi, richiamati gli art. 17, 93 LEF; 61 cpv. 2 lett. a e 62 cpv. 2 OTLEF pronuncia: 1. Il ricorso è respinto. 2. Non si prelevano spese né si assegnano indennità. 3 .   Notificazione a: – ; – ;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