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15.2013.58 vom 29. Juli 2013</w:t>
      </w:r>
    </w:p>
    <w:p>
      <w:r>
        <w:t>TI Tribunale d'appello, 2013-07-29, IT</w:t>
      </w:r>
    </w:p>
    <w:p>
      <w:r>
        <w:rPr>
          <w:b/>
        </w:rPr>
        <w:t xml:space="preserve">Quelle: </w:t>
      </w:r>
      <w:r>
        <w:t>https://mcp.opencaselaw.ch/entscheid/ti_gerichte_15.2013.58</w:t>
      </w:r>
    </w:p>
    <w:p>
      <w:r>
        <w:t>FR: TI_GERICHTE 15.2013.58 du 29 juillet 2013</w:t>
      </w:r>
    </w:p>
    <w:p>
      <w:r>
        <w:t>IT: TI_GERICHTE 15.2013.58 del 29 luglio 2013</w:t>
      </w:r>
    </w:p>
    <w:p>
      <w:pPr>
        <w:pStyle w:val="Heading2"/>
      </w:pPr>
      <w:r>
        <w:t>Regeste</w:t>
      </w:r>
    </w:p>
    <w:p>
      <w:r>
        <w:t>Pignoramento di salario. Spese dell’alloggio. Trasferte e pasti fuori domicilio</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(DTF 108 III 13). Anche la questione della pignorabilità va esaminata d’ufficio.</w:t>
      </w:r>
    </w:p>
    <w:p>
      <w:r>
        <w:rPr>
          <w:b/>
        </w:rPr>
        <w:t>E. 1.1</w:t>
      </w:r>
    </w:p>
    <w:p>
      <w:r>
        <w:t>Di conseguenza è ordinato all’CO 1 di pignorare la quota del reddito di RI 1 eccedente il suo minimo vitale determinato in fr. 2'699.00. 2. Non si prelevano spese né si assegnano indennità. 3 .      Notificazione a: -     ; -    . Comunicazione all’CO 1,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Basilea 2010,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In merito alle singole censure rivolte dai ricorrenti al calcolo del minimo di esistenza allestito dall’Ufficio va rilevato quanto segue:</w:t>
      </w:r>
    </w:p>
    <w:p>
      <w:r>
        <w:rPr>
          <w:b/>
        </w:rPr>
        <w:t>E. 4.1</w:t>
      </w:r>
    </w:p>
    <w:p>
      <w:r>
        <w:t>Il principio secondo il quale il debitore pignorato deve limitare il suo tenore di vita e vivere con il minimo di esistenza calcolato vale anche per le spese dell’alloggio ( DTF 129 III 526 ss.). 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 10 novembre 2000 in re A. G. cons. 4.6 con riferimenti).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 cons. 2 e 4; CEF 10 novembre 2000 in re A. G. cons. 4.6). La decurtazione del quantum può però di regola essere operante solo nel rispetto dei termini contrattuali ( DTF 119 III 73; Amonn/Walther , Grundriss des Schuldbetreibungs- und Konkursrechts, 8 a ed., Berna 2008, n. 64 ad § 23; Vonder Mühll , op. cit., n. 26 ad art. 93; Tabella CEF 1.1.2009 per il calcolo del minimo d’esistenza, n. II.1.1), salvo che questi siano eccessivamente lunghi ( DTF 129 III 526 ss.). b) Nel caso in esame il ricorrente dal settembre 2012 vive da solo a __________ in un monolocale pagando fr. 650.00 di affitto. In concreto il canone di locazione corrisposto dall’escusso non può essere considerato eccessivo per un appartamento ad uso di una persona sola a __________. Ne consegue che tale importo deve essergli riconosciuto e quanto conteggiato dall’Ufficio a tale titolo deve essere ridotto da fr. 800.00 a fr. 650.00.</w:t>
      </w:r>
    </w:p>
    <w:p>
      <w:r>
        <w:rPr>
          <w:b/>
        </w:rPr>
        <w:t>E. 4.2</w:t>
      </w:r>
    </w:p>
    <w:p>
      <w:r>
        <w:t>È principio giurisprudenziale e dottrinale indiscusso che le spese fisse e correnti connesse all’uso di un’automobile rientrano nel minimo di esistenza del debitore solo se il veicolo viene dichiarato impignorabile in virtù dell’art. 92 n. 3 LEF, in particolare se il veicolo è necessario al debitore per l’esercizio della sua professione (cfr. DTF 117 III 22, 104 III 73, 97 III 52; Amonn/Walther , op. cit., n. § 23 n. 27, p. 170; Fritzsche/Walder , Schuldbetreibung und Konkurs nach schweizerischem Recht, vol. I, Zurigo 1984, § 24 n. 60; Guidicelli/Piccirilli , Il pignoramento di redditi ex art. 93 LEF nella pratica ticinese, Lugano 2002, n. 171 e segg.). a) Nel caso in esame al debitore è stato riconosciuto l’importo di fr. 190.00 per le spese connesse all’uso dell’autoveicolo per il tragitto casa lavoro. Dalla documentazione agli atti è emerso che il veicolo privato è necessario all’escusso per l’esercizio della sua professione, come risulta dallo s critto 18 aprile 2013 (doc. E prodotto dall’Ufficio) della sua datrice di lavoro. Infatti egli è incaricato del ritiro urgente di materiali di riparazione per i veicoli e le attrezzature della datrice di lavoro. Inoltre la ditta, che si trova in zona industriale, non dispone di una mensa privata ed il più vicino Ristorante si trova in centro a __________. Avendo poi l’escusso a disposizione un’ora per la pausa pranzo, che per motivi di lavoro può essere anticipata o posticipata, egli non potrebbe senza auto andare a pranzo rispettando gli orari aziendali, considerato che i mezzi pubblici non servono la zona __________ ad orari favorevoli b) Qualora l’escusso, come nella fattispecie, non presenti il dettaglio delle sue spese mensili di trasferte professionali, occorre stimarle valutando il costo chilometrico medio mensile del tragitto casa-lavoro (cfr. Guidicelli/Piccirilli , op. cit., n. 181 segg.). Secondo la giurisprudenza di questa Camera, il costo chilometrico di un veicolo di categoria media che percorre sui 15'000 km all’anno (come nel caso di specie considerati anche i chilometri potenziali che l’escusso percorre a titolo privato) ammonta a fr. 0.50 al chilometro e com­prende sia i costi correnti sia i costi fissi connessi all’uso dell’auto­vettura, ad esclusione del costo d’ammortamento, che non è un costo effettivo (CEF del 13 giugno 2013, inc. 15.2013.48, consid. 2.4 ). Considerato che la trasferta dal domicilio al luogo di lavoro andata e ritorno è di 28 chilometri al giorno ( www.mappy.com ) e che il numero medio di giorni lavorativi in Ticino può essere stabilito in 230 all’anno (CEF 22 ottobre 2012, inc. 15.2012.89), l’escusso percorre 537 km mensili per le trasferte dal domicilio al luogo di lavoro (230 ¸ 12 x 28). Nel calcolo del suo minimo di esistenza vanno di conseguenza computati a titolo di spese di trasferta fr. 269.00 mensili (537 x 0.50).</w:t>
      </w:r>
    </w:p>
    <w:p>
      <w:r>
        <w:rPr>
          <w:b/>
        </w:rPr>
        <w:t>E. 4.3</w:t>
      </w:r>
    </w:p>
    <w:p>
      <w:r>
        <w:t>Il debitore che è costretto, per motivi di lavoro, a consumare i pasti fuori dell’economia domestica ha diritto a un supplemento di fr. 11.00 per ogni pasto principale (cfr. Tabella per il calcolo del minimo di esistenza agli effetti del diritto esecutivo, allegata alla Circolare CEF n. 35/2009, pubblicata sul Foglio ufficiale cantonale n. 68/2009 del 28 agosto 2009, punto II.4b [citata in seguito “Tabella”]). Nel caso concreto PI 1 lavora a __________e abita a __________. Domicilio e luogo di lavoro distano pertanto circa quattordici chilometri ( www.mappy.com ). Di conseguenza il debitore, vista anche, come attestato dalla propria datrice di lavoro, la brevità della relativa pausa, non può rientrare al domicilio per prepararsi e consumare il pasto di mezzogiorno, che deve essere preso fuori dall’economia domestica. Considerato il numero medio di giorni lavorativi in Ticino (230), conformemente al punto II.4b della “Tabella” dev’essere riconosciuto a PI 1 l’importo arrotondato mensile di fr. 210.00 (230 ¸ 12 x 11).</w:t>
      </w:r>
    </w:p>
    <w:p>
      <w:r>
        <w:rPr>
          <w:b/>
        </w:rPr>
        <w:t>E. 5</w:t>
      </w:r>
    </w:p>
    <w:p>
      <w:r>
        <w:t>Sulla base delle considerazioni espresse precedentemente il calcolo del minimo di esistenza del debitore è determinato in fr. 2'699.00, così calcolati: Importo di base            fr.   1 '200 .00 Locazione                     fr.      650.00 Cassa malati                fr.      370.00 Trasferte                      fr.      269.00 Pasti fuori domicilio      fr.      210.00 Totale                           fr.   2 '699 .00</w:t>
      </w:r>
    </w:p>
    <w:p>
      <w:r>
        <w:rPr>
          <w:b/>
        </w:rPr>
        <w:t>E. 6</w:t>
      </w:r>
    </w:p>
    <w:p>
      <w:r>
        <w:t>Ne discende che il ricorso va parzialmente accolto. Non si prelevano spese (art. 61 cpv. 2 lett. a OTLEF) e non si assegnano indennità (art. 62 cpv. 2 OTLEF). Per questi motivi, richiamati gli art. 17, 93 LEF; 61 cpv. 2 lett. a e 62 cpv. 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