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15.2013.53 vom 4. Juni 2013</w:t>
      </w:r>
    </w:p>
    <w:p>
      <w:r>
        <w:t>TI Tribunale d'appello, 2013-06-04, IT</w:t>
      </w:r>
    </w:p>
    <w:p>
      <w:r>
        <w:rPr>
          <w:b/>
        </w:rPr>
        <w:t xml:space="preserve">Quelle: </w:t>
      </w:r>
      <w:r>
        <w:t>https://mcp.opencaselaw.ch/entscheid/ti_gerichte_15.2013.53</w:t>
      </w:r>
    </w:p>
    <w:p>
      <w:r>
        <w:t>FR: TI_GERICHTE 15.2013.53 du 4 juin 2013</w:t>
      </w:r>
    </w:p>
    <w:p>
      <w:r>
        <w:t>IT: TI_GERICHTE 15.2013.53 del 4 giugno 2013</w:t>
      </w:r>
    </w:p>
    <w:p>
      <w:pPr>
        <w:pStyle w:val="Heading2"/>
      </w:pPr>
      <w:r>
        <w:t>Regeste</w:t>
      </w:r>
    </w:p>
    <w:p>
      <w:r>
        <w:t>Beni impignorabili sono anche quelli utilizzati per l’esercizio di attività accessoria o tempo parziale. Necessità della redditività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l’art. 92 cpv. 1 n. 3 LEF sono impignorabili gli arnesi, gli apparecchi, gli strumenti e i libri, in quanto siano necessari al debitore e alla sua famiglia per l'esercizio della professione. Nell'ambito dell'esecuzione forzata occorre tenere conto dell'esi­stenza economica del debitore e della sua famiglia. L'esercizio di una professione da parte del debitore e della sua famiglia deve essere garantita. A questo scopo vengono protetti gli arnesi, gli apparecchi, gli strumenti e i libri necessari. Protetta non è quindi qualsiasi attività economica, ma solo la professione in senso stretto, ovvero l’attività lucrativa in cui il fattore del lavoro personale dell’e­scus­so prevale su quello del capitale investito e del lavoro fornito da terzi ( Vonder Mühll , Basler Kommentar zum SchKG, vol. I, Basilea 2010, n. 13 ad art. 92; Amonn/Walther , Grundriss des Schuldbe­trei­bungs- und Konkursrechts, 8 a ed., Berna 2008, § 23 n. 13 e 24; Gilliéron , Commentaire de la loi fédérale sur la poursuite pour dettes et la faillite, Losanna 2000, n. 87 ad art. 92). Anche i beni utilizzati per l’esercizio di un’attività accessoria o a tempo parziale sono protetti dalla norma, purché il provento ottenuto da tale attività sia necessario al sostentamento del debitore ( Vonder Mühll, op. cit., n. 20 ad art. 92). L’attività professionale deve essere redditizia: la protezione dell’art. 92 cpv. 1 n. 3 LEF non è infatti data quando l’attività risulta deficitaria. Secondo la giurisprudenza del Tribunale federale l’ufficio d’esecuzione e l’autorità cantonale di vigilanza devono accertare d’ufficio le circostanze determinanti per l’esclu­sione della pignorabilità di un bene (DTF 113 III 78).</w:t>
      </w:r>
    </w:p>
    <w:p>
      <w:r>
        <w:rPr>
          <w:b/>
        </w:rPr>
        <w:t>E. 2</w:t>
      </w:r>
    </w:p>
    <w:p>
      <w:r>
        <w:t>N ella fattispecie dal verbale interno per le operazioni di pignora­mento del 13 marzo 2013 emerge che l’escusso ha dichiarato di percepire una rendita dall’AVS e dalla Cassa pensione di circa fr. 3'000.00 mensili. Dallo stesso verbale si evince inoltre che la gestione del ristorante __________ non apporta alcun reddito a RI 1, atteso che sarebbe lo stesso debitore che “deve utilizzare fondi propri per coprire il deficit” . Siffatta circostanza determina la pignorabilità degli oggetti d’inventario del __________ __________ indicati nel verbale di pignoramento, non essendo adempiuto il requisito della sufficiente redditività del lavoro svolto ( Vonder Mühll , op. cit., n. 21).</w:t>
      </w:r>
    </w:p>
    <w:p>
      <w:r>
        <w:rPr>
          <w:b/>
        </w:rPr>
        <w:t>E. 3</w:t>
      </w:r>
    </w:p>
    <w:p>
      <w:r>
        <w:t>.   Notificazione a: –   ; –   . Comunicazione all’CO 1 per il tramite dell’Ufficio esecuzione e fallimenti di __________. Per la Camera di esecuzione e fallimenti del Tribunale d’appello Il presidente                                                                               Il segretario Rimedi giuridici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