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15.2012.63 vom 30. Oktober 2012</w:t>
      </w:r>
    </w:p>
    <w:p>
      <w:r>
        <w:t>TI Tribunale d'appello, 2012-10-30, IT</w:t>
      </w:r>
    </w:p>
    <w:p>
      <w:r>
        <w:rPr>
          <w:b/>
        </w:rPr>
        <w:t xml:space="preserve">Quelle: </w:t>
      </w:r>
      <w:r>
        <w:t>https://mcp.opencaselaw.ch/entscheid/ti_gerichte_15.2012.63</w:t>
      </w:r>
    </w:p>
    <w:p>
      <w:r>
        <w:t>FR: TI_GERICHTE 15.2012.63 du 30 octobre 2012</w:t>
      </w:r>
    </w:p>
    <w:p>
      <w:r>
        <w:t>IT: TI_GERICHTE 15.2012.63 del 30 ottobre 2012</w:t>
      </w:r>
    </w:p>
    <w:p>
      <w:pPr>
        <w:pStyle w:val="Heading2"/>
      </w:pPr>
      <w:r>
        <w:t>Regeste</w:t>
      </w:r>
    </w:p>
    <w:p>
      <w:r>
        <w:t>Pignoramento di fondi. Richiesta dell'escusso di pignorare beni mobili. Ordine di pignoramento. Pignoramento anteriore che copre anche i crediti del gruppo successivo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l’art. 95 cpv. 1 e 2 LEF, si devono pignorare in primo luogo i beni mobili, compresi i crediti e le pretese limitatamente pignorabili – purché non contestati o rivendicati (art. 95 cpv. 3 LEF) –, e solo in secondo luogo i beni immobili. In ogni caso, il funzionario deve comunque conciliare, per quanto possibile, gli interessi del creditore e quelli del debitore (art. 95 cpv. 5 LEF), derogando all’ordine fissato dalla legge laddove le circostanze lo giustifichino o le parti lo richiedano di comune accordo (art. 95 cpv. 4 bis LEF).</w:t>
      </w:r>
    </w:p>
    <w:p>
      <w:r>
        <w:rPr>
          <w:b/>
        </w:rPr>
        <w:t>E. 1.1</w:t>
      </w:r>
    </w:p>
    <w:p>
      <w:r>
        <w:t>Nella fattispecie, la ricorrente pretende che la sua sostanza mobiliare (arredamento della casa, rendita mensile di fr. 15'000.--, cartella ipotecaria di secondo rango sul proprio fondo, diritti sulla ditta __________, “ecc.”) sia sufficiente per garantire il credito vantato dalla creditrice.</w:t>
      </w:r>
    </w:p>
    <w:p>
      <w:r>
        <w:rPr>
          <w:b/>
        </w:rPr>
        <w:t>E. 1.2</w:t>
      </w:r>
    </w:p>
    <w:p>
      <w:r>
        <w:t>La questione è già stata sollevata dall’escussa nel suo precedente ricorso ed è stata risolta dalla Camera con la reiezione del ricorso (sentenza 7 marzo 2012, inc. 15.2012.20), che ha ritenuto che la stima complessiva del mobilio di casa fosse di fr. 36'681.-- (cons. 2) e che non era stata dimostrata l’esistenza (e comunque l’incasso) dell’asserita rendita ch’essa percepirebbe dalla successione P__________ (cons. 3) e neppure la titolarità della cartella ipotecaria di secondo rango sui propri fondi né la possibilità di pignorarla separatamente dagli stessi (cons. 6). Tale decisione è passata in giudicato con la notifica della sentenza del Tribunale federale del 26 settembre 2012. Sebbene essa non abbia un effetto diretto nelle procedure – diverse – in esame, il pignoramento dei fondi è da considerare definitivo e dal momento che, secondo l’affermazione rimasta incontestata dell’Ufficio secondo cui esso copre anche i crediti del PI 1, non vi è motivo di ordinare un pignoramento, comunque complementare, dei beni mobili. In ogni caso, essendosi la ricorrente limitata a riferirsi agli argomenti e documenti prodotti nel suo precedente ricorso, non sono dati fatti nuovi che potrebbero giustificare una revisione del pignoramento nel senso auspicato dalla ricorrente.</w:t>
      </w:r>
    </w:p>
    <w:p>
      <w:r>
        <w:rPr>
          <w:b/>
        </w:rPr>
        <w:t>E. 2</w:t>
      </w:r>
    </w:p>
    <w:p>
      <w:r>
        <w:t>La domanda di sospensione della presente procedura di ricorso fino al trentesimo giorno dopo l’emanazione della decisione del Tribunale federale nella causa 5A_225/2012 è diventata priva di oggetto.</w:t>
      </w:r>
    </w:p>
    <w:p>
      <w:r>
        <w:rPr>
          <w:b/>
        </w:rPr>
        <w:t>E. 3</w:t>
      </w:r>
    </w:p>
    <w:p>
      <w:r>
        <w:t>.   Notificazione a: –; –.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