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15.2012.34 vom 12. März 2012</w:t>
      </w:r>
    </w:p>
    <w:p>
      <w:r>
        <w:t>TI Tribunale d'appello, 2012-03-12, IT</w:t>
      </w:r>
    </w:p>
    <w:p>
      <w:r>
        <w:rPr>
          <w:b/>
        </w:rPr>
        <w:t xml:space="preserve">Quelle: </w:t>
      </w:r>
      <w:r>
        <w:t>https://mcp.opencaselaw.ch/entscheid/ti_gerichte_15.2012.34</w:t>
      </w:r>
    </w:p>
    <w:p>
      <w:r>
        <w:t>FR: TI_GERICHTE 15.2012.34 du 12 mars 2012</w:t>
      </w:r>
    </w:p>
    <w:p>
      <w:r>
        <w:t>IT: TI_GERICHTE 15.2012.34 del 12 marzo 2012</w:t>
      </w:r>
    </w:p>
    <w:p>
      <w:pPr>
        <w:pStyle w:val="Heading2"/>
      </w:pPr>
      <w:r>
        <w:t>Regeste</w:t>
      </w:r>
    </w:p>
    <w:p>
      <w:r>
        <w:t>Rivendicazione di proprietà di beni pignorati. Termine per farla valere. Produzione all'Ufficio dei mezzi di prova a sostegno della rivendicazione</w:t>
      </w:r>
    </w:p>
    <w:p>
      <w:pPr>
        <w:pStyle w:val="Heading2"/>
      </w:pPr>
      <w:r>
        <w:t>Erwägungen</w:t>
      </w:r>
    </w:p>
    <w:p>
      <w:r>
        <w:rPr>
          <w:b/>
        </w:rPr>
        <w:t>E. 1</w:t>
      </w:r>
    </w:p>
    <w:p>
      <w:r>
        <w:t>Con il ricorso RI 1 chiede innanzitutto che la rivendicazione venga “respinta” in quanto nel verbale di pignoramento i veicoli sarebbero stati indicati dal debitore come di sua esclusiva proprietà. Questa richiesta è irricevibile in sede di ricorso ex art. 17 LEF. L’Ufficio, quale organo di esecuzione forzata, non deve determinarsi sulla fondatezza di una rivendicazione di proprietà. Il suo ruolo è infatti limitato all’assegnazione dei ruoli processuali nella procedura di rivendicazione ex art. 106 ss. LEF.</w:t>
      </w:r>
    </w:p>
    <w:p>
      <w:r>
        <w:rPr>
          <w:b/>
        </w:rPr>
        <w:t>E. 1.1</w:t>
      </w:r>
    </w:p>
    <w:p>
      <w:r>
        <w:t>Gli art. 106 ss. LEF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DTF 7B.231/2000 dell'11 ottobre 2000 in re M.F. c. V.F. e L.S.C., cons. 5).</w:t>
      </w:r>
    </w:p>
    <w:p>
      <w:r>
        <w:rPr>
          <w:b/>
        </w:rPr>
        <w:t>E. 1.2</w:t>
      </w:r>
    </w:p>
    <w:p>
      <w:r>
        <w:t>A norma degli art. 107 e 108 LEF, il debitore e il creditore possono contestare presso l'ufficio la pretesa del terzo, quando questa riguarda un bene mobile in possesso esclusivo del debitore. 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compossesso del terzo, è al creditore rispettivamente al debitore che deve essere impartito il termine per agire giudizialmente, quale attore contro il terzo (cfr. art. 108 cpv. 1 n. 1 e cpv.</w:t>
      </w:r>
    </w:p>
    <w:p>
      <w:r>
        <w:rPr>
          <w:b/>
        </w:rPr>
        <w:t>E. 2</w:t>
      </w:r>
    </w:p>
    <w:p>
      <w:r>
        <w:t>Per l’art. 108 cpv. 4 LEF su domanda del creditore o del debitore, il terzo è invitato a produrre all’ufficio i suoi mezzi di prova entro lo scadere del termine per promuovere l’azione. Nel caso di specie, diversamente da quanto argomentato dal ricorrente, PI 2 già con la rivendicazione del 17 gennaio 2012 ha allegato all’Ufficio la documentazione tendente a provare la sua proprietà sulle due auto. La censura di RI 1 risulta priva di ogni fondamento e va pertanto respinta.</w:t>
      </w:r>
    </w:p>
    <w:p>
      <w:r>
        <w:rPr>
          <w:b/>
        </w:rPr>
        <w:t>E. 3</w:t>
      </w:r>
    </w:p>
    <w:p>
      <w:r>
        <w:t>RI 1 contesta la tempestività della rivendicazione di PI 2.</w:t>
      </w:r>
    </w:p>
    <w:p>
      <w:r>
        <w:rPr>
          <w:b/>
        </w:rPr>
        <w:t>E. 3.1</w:t>
      </w:r>
    </w:p>
    <w:p>
      <w:r>
        <w:t>Sebbene la rivendicazione di un diritto di proprietà su beni pignorati può essere fatta valere sino alla ripartizione del ricavato (cfr. art. 106 cpv. 2 LEF), giurisprudenza e dottrina considerano che la rivendicazione deve essere annunciata in un breve termine appropriato alle circostanze. Il diritto del terzo è perento se questi tarda astutamente a dichiarare la rivendicazione oppure se si dimostra manifestamente negligente (cfr. DTF 120 III 125, c. 2a, con rif.; Staehelin , op. cit., n. 23 ad art. 106; Gilliéron , Commentaire de la LP, vol. II, Losanna 2000, n. 168 s. ad art. 106 ).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(cfr. DTF 106 III 57 e ss.). Il ritardo nella rivendicazione della proprietà di cose pignorate può tuttavia costituire abuso manifesto di un diritto e provocarne la decadenza soltanto quando il proprietario sia personalmente a conoscenza del pignoramento eseguito sui singoli beni rivendicati (DTF 109 III 18 e ss.).</w:t>
      </w:r>
    </w:p>
    <w:p>
      <w:r>
        <w:rPr>
          <w:b/>
        </w:rPr>
        <w:t>E. 3.2</w:t>
      </w:r>
    </w:p>
    <w:p>
      <w:r>
        <w:t>Nel caso di specie PI 2 ha asserito di aver appreso solo a fine 2011 delle procedure esecutive avviate contro il marito e quindi del pignoramento delle due autovetture pretese di sua proprietà. Orbene, dall’esame degli atti prodotti dall’CO 1 non risultano elementi di segno contrario a quanto asserito dalla rivendicante: si deve quindi ritenere che, come affermato nelle proprie osservazioni, PI 2 sia venuta a conoscenza del pignoramento solo a fine 2011. La giurisprudenza e la dottrina impongono estrema prudenza nell’ammettere la perenzione di un diritto quando, come in casu, essa non è prevista espressamente dalla legge, ritenendo che la perenzione intervenga unicamente in caso di manifesto abuso di diritto (DTF 114 III 95; Amonn/Walther , op. cit., § 24 n. 26, p. 222). Nel caso in esame PI 2 ha notificato la propria pretesa già in data 17 gennaio 2012. Ne consegue che il diritto di proprietà è stato notificato tempestivamente.</w:t>
      </w:r>
    </w:p>
    <w:p>
      <w:r>
        <w:rPr>
          <w:b/>
        </w:rPr>
        <w:t>E. 4</w:t>
      </w:r>
    </w:p>
    <w:p>
      <w:r>
        <w:t>Da quanto precede discende che il ricorso è respinto . Non si preleva la tassa di giustizia e non si assegnano indennità (art. 61 cpv. 2 lett. a e 62 cpv. 2 OTLEF). Per questi motivi, richiamati gli art. 17, 106 ss. LEF ; 61 cpv. 2 lett. a e 62 cpv. 2 OTLEF, pronuncia: 1. Il ricorso è respinto. 2. Non si prelevano spese e non si assegnano indennità. 3. Notificazione a: - RI 1, __________; - avv. PA 1, __________; - PI 1, __________; - __________, __________; - __________, __________; - __________, __________; - __________, __________; - __________, __________; - __________, __________, __________; - avv. __________, __________. Comunicazione all’CO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