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15.2012.136 vom 4. Februar 2013</w:t>
      </w:r>
    </w:p>
    <w:p>
      <w:r>
        <w:t>TI Tribunale d'appello, 2013-02-04, IT</w:t>
      </w:r>
    </w:p>
    <w:p>
      <w:r>
        <w:rPr>
          <w:b/>
        </w:rPr>
        <w:t xml:space="preserve">Quelle: </w:t>
      </w:r>
      <w:r>
        <w:t>https://mcp.opencaselaw.ch/entscheid/ti_gerichte_15.2012.136</w:t>
      </w:r>
    </w:p>
    <w:p>
      <w:r>
        <w:t>FR: TI_GERICHTE 15.2012.136 du 4 février 2013</w:t>
      </w:r>
    </w:p>
    <w:p>
      <w:r>
        <w:t>IT: TI_GERICHTE 15.2012.136 del 4 febbraio 2013</w:t>
      </w:r>
    </w:p>
    <w:p>
      <w:pPr>
        <w:pStyle w:val="Heading2"/>
      </w:pPr>
      <w:r>
        <w:t>Regeste</w:t>
      </w:r>
    </w:p>
    <w:p>
      <w:r>
        <w:t>Pignoramento di somma risparmiata</w:t>
      </w:r>
    </w:p>
    <w:p>
      <w:pPr>
        <w:pStyle w:val="Heading2"/>
      </w:pPr>
      <w:r>
        <w:t>Erwägungen</w:t>
      </w:r>
    </w:p>
    <w:p>
      <w:r>
        <w:rPr>
          <w:b/>
        </w:rPr>
        <w:t>E. 1</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 2010, n. 17 ad art. 93), ritenuto che delle successive modifiche della situazione potrà essere tenuto conto soltanto mediante riesame del pignoramento ( DTF 108 III 13). Anche la questione della pignorabilità va esaminata d’ufficio.</w:t>
      </w:r>
    </w:p>
    <w:p>
      <w:r>
        <w:rPr>
          <w:b/>
        </w:rPr>
        <w:t>E. 2</w:t>
      </w:r>
    </w:p>
    <w:p>
      <w:r>
        <w:t>Per l’art. 93 cpv. 1 LEF ogni provento del lavoro, gli usufrutti e il loro prodotto, le rendite vitalizie e gli alimenti, le pensioni e le prestazioni di qualsiasi tipo destinate a risarcire una perdita di guadagno o una pretesa derivante dal diritto al mantenimento, segnatamente le rendite e le indennità che non sono impignorabili giusta l’art. 92, possono essere pignorati in quanto, a giudizio dell’ufficiale, non siano assolutamente necessari al sostentamento del debitore e della sua famiglia, comprese le spese indispensabili connesse all’esercizio della professione o del mestiere ch’egli effettivamente sopporta (cfr. punto II/4 della Tabella per il calcolo del minimo di esistenza agli effetti del diritto esecutivo, allegata alla Circolare CEF n. 35/2009 e pubblicata sul Foglio ufficiale cantonale n. 68/2009 del 28 agosto 2009). Per “ provento del lavoro ” si intende ogni prestazione, in denaro o in natura, costituente la retribuzione di un lavoro personale, svolto sia quale dipendente che quale indipendente (cfr. Vonder Mühll , op. cit., n. 3 ad art. 93; Gilliéron , Commentaire de la LP, vol. II, Losanna 2000, n. 26 ad art. 93, con rif.).</w:t>
      </w:r>
    </w:p>
    <w:p>
      <w:r>
        <w:rPr>
          <w:b/>
        </w:rPr>
        <w:t>E. 3</w:t>
      </w:r>
    </w:p>
    <w:p>
      <w:r>
        <w:t>Tutti i redditi che l’escusso ha risparmiato non facendoci capo per finanziare il proprio minimo di esistenza corrente – finanche quelli assolutamente impignorabili quali ad esempio le rendite AVS/AI/PC (art. 92 cpv. 1 n. 9a LEF) – sono illimitatamente pignorabili (DTF 115 III 48, cons. 1b; 59 III 116; Ochsner , Commentaire romand de la LP, Basilea/Ginevra/ Monaco 2005, n. 17 ad art. 93; Hunkeler , Kurzkommentar SchKG, Basilea 2009, n. 70 ad art. 92 e rif. ivi; Vonder Mühll, op. cit., n. 59 ad art. 92). Avendo nel caso concreto l’escusso omesso di dimostrare, come gli incombeva, quanto da lui asserito, ossia che l’importo pignorato avrebbe dovuto servire a pagare dei fornitori, la somma di fr. 1'338.31 depositata presso la __________ è da considerare quale risparmio effettuato sui proventi da attività lavorativa indipendente e come tale deve essere interamente pignorata, ritenuto che l’Ufficio, correttamente, non ha pignorato gli ulteriori fr. 1'200.- esistenti sul conto in quanto considerati necessari a coprire il minimo esistenziale del debitore per il mese in corso. Il pignoramento va quindi confermato.</w:t>
      </w:r>
    </w:p>
    <w:p>
      <w:r>
        <w:rPr>
          <w:b/>
        </w:rPr>
        <w:t>E. 4</w:t>
      </w:r>
    </w:p>
    <w:p>
      <w:r>
        <w:t>Da quanto precede discende che il ricorso si rivela infondato e come tale va respinto. Non si prelevano spese (art. 61 cpv. 2 lett. a OTLEF) e non si assegnano indennità (art. 62 cpv. 2 OTLEF). Per questi motivi, richiamati gli art. 17, 92, 93 LEF; 61 cpv. 2 lett. a, 62 cpv. 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