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15.2011.84 vom 13. Januar 2012</w:t>
      </w:r>
    </w:p>
    <w:p>
      <w:r>
        <w:t>TI Tribunale d'appello, 2012-01-13, IT</w:t>
      </w:r>
    </w:p>
    <w:p>
      <w:r>
        <w:rPr>
          <w:b/>
        </w:rPr>
        <w:t xml:space="preserve">Quelle: </w:t>
      </w:r>
      <w:r>
        <w:t>https://mcp.opencaselaw.ch/entscheid/ti_gerichte_15.2011.84</w:t>
      </w:r>
    </w:p>
    <w:p>
      <w:r>
        <w:t>FR: TI_GERICHTE 15.2011.84 du 13 janvier 2012</w:t>
      </w:r>
    </w:p>
    <w:p>
      <w:r>
        <w:t>IT: TI_GERICHTE 15.2011.84 del 13 gennaio 2012</w:t>
      </w:r>
    </w:p>
    <w:p>
      <w:pPr>
        <w:pStyle w:val="Heading2"/>
      </w:pPr>
      <w:r>
        <w:t>Regeste</w:t>
      </w:r>
    </w:p>
    <w:p>
      <w:r>
        <w:t>Aggiudicazione di un fondo agricolo all'affittuario che ha esercitato il suo diritto di prelazione. Contestazione di tale diritto da parte del migior offerente. Competenze reciproche dell'autorità di vigilanza e della Sezione dell'agricoltura. Annullamento dell'asta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del Regolamento sul diritto fondiario rurale e sull’affitto agricolo, RL 8.1.3.1.1 ). Ove l’acquisizione sia avvenuta nell’ambito di una procedura di realizzazione forzata, l’autorizzazione è rifiutata se l’acquirente non è coltivatore diretto o se il fondo da acquistare è ubicato fuori del raggio d’esercizio dell’azienda dell’acquirente secondo l’uso locale (art. 63 cpv. 1 lett. a e d, e cpv. 2 LDFR). S econdo l’art. 67 LDFR , i n caso d’incanto forzato di un fondo agricolo, l’aggiudicatario deve produrre l’autorizzazione oppure depositare i costi per un nuovo incanto e richiedere l’autorizzazi­one entro dieci giorni dall’aggiudicazione, una nuova asta dovendo essere ordinata se tale autorizzazione non è chiesta tempestivamente o viene rifiutata.</w:t>
      </w:r>
    </w:p>
    <w:p>
      <w:r>
        <w:rPr>
          <w:b/>
        </w:rPr>
        <w:t>E. 1.1</w:t>
      </w:r>
    </w:p>
    <w:p>
      <w:r>
        <w:t>Di conseguenza, l’aggiudicazione del fondo n. __________ RFD di __________ avvenuta il 1° settembre 2011 a favore di PI 2 è annullata.</w:t>
      </w:r>
    </w:p>
    <w:p>
      <w:r>
        <w:rPr>
          <w:b/>
        </w:rPr>
        <w:t>E. 1.2</w:t>
      </w:r>
    </w:p>
    <w:p>
      <w:r>
        <w:t>È fatto ordine all’CO 1 d’indire una nuova asta. 2. Non si prelevano spese né si assegnano indennità. 3. Intimazione a:  – RI 1, __________; – avv. PA 1, __________. Comunicazione all’CO 1. Per la Camera di esecuzione e fallimenti del Tribunale d’appello quale autorità di vigilanza Il presidente                                                                                Il segretario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>
      <w:r>
        <w:rPr>
          <w:b/>
        </w:rPr>
        <w:t>E. 1.3</w:t>
      </w:r>
    </w:p>
    <w:p>
      <w:r>
        <w:t>A questo proposito, occorre ricordare che la Sezione dell’agricol­tura, nella sua decisione 20 settembre 2011, non ha statuito, nemmeno in modo implicito, sui presupposti per il riconoscimento a favore dell’aggiudicatario di un diritto di prelazione giusta l’art. 47 cpv. 2 lett. b LDFR, ma si è limitata a verificare l’esi­sten­za dei presupposti per l’acquisto del fondo all’asta (combinati art. 61 cpv. 2, 63, e 67 LDFR), ovvero che l’aggiudicatario fosse un coltivatore diretto a norma dell’art. 9 cpv. 1 LDFR e, almeno implicitamente, che il fondo fosse ubicato nel raggio d’esercizio dell’azienda dell’acquirente secondo l’uso locale (art. 63 cpv. 1 lett. a e d e cpv.</w:t>
      </w:r>
    </w:p>
    <w:p>
      <w:r>
        <w:rPr>
          <w:b/>
        </w:rPr>
        <w:t>E. 1.4</w:t>
      </w:r>
    </w:p>
    <w:p>
      <w:r>
        <w:t>Per questo motivo, e in analogia con la procedura prevista per il rilascio dell’autorizzazione all’acquisto di un fondo agricolo nell’am­bito di un’esecuzione forzata (art. 67 LDFR), è quindi stato impartito all’aggiudicatario un termine per promuovere dinanzi alla Sezione dell’agricoltura un’istanza giusta l’art. 84 LDFR tendente a far accertare se Severino Tartini era proprietario o disponeva economicamente di un’azienda ai sensi degli art. 7 e 47 cpv. 2 lett. b LDFR al momento dell’aggiudica­zione e se il fondo part. n. __________ RFD di __________ è ubicato nel raggio d’esercizio dell’a­zienda secondo l’uso locale (ordinanza del 22 novembre 2011, supra ad L).</w:t>
      </w:r>
    </w:p>
    <w:p>
      <w:r>
        <w:rPr>
          <w:b/>
        </w:rPr>
        <w:t>E. 2</w:t>
      </w:r>
    </w:p>
    <w:p>
      <w:r>
        <w:t>ne ammette infatti implicitamente l’esito e le conseguenze, pur criticandone i (pur scarni) motivi. In mancanza di una delle condizioni poste all’art. 47 cpv. 2 lett. b LDFR, non si può che constatare l’inesistenza del diritto di prelazione vantato da PI 2, senza che sia necessario esaminarne le altre condizioni, e segnatamente la questione della proprietà (giuridica o economica) dei fondi gestiti dall’aggiudicatario e della titolarità del contratto d’affitto. Di conseguenza, l’aggiudicazione del fondo n. __________ RFD __________ va annullata.</w:t>
      </w:r>
    </w:p>
    <w:p>
      <w:r>
        <w:rPr>
          <w:b/>
        </w:rPr>
        <w:t>E. 3</w:t>
      </w:r>
    </w:p>
    <w:p>
      <w:r>
        <w:t>Contrariamente a quanto sostiene PI 2, è irrilevante il fatto ch’egli abbia fatto valere in buona fede il suo asserito diritto di prelazione in sede d’asta sulla base delle indicazioni dell’CO 1 e di precedenti decisioni della Sezione dell’agricoltura in materia di pagamenti diretti (cfr. doc. 2 allegato allo scritto 20 dicembre 2011). Onde evitare i disagi che l’annullamento dell’ag­giu­dicazione comporterà, egli avrebbe infatti potuto chiedere già prima dell’asta l’ac­certamento dei presupposti per il riconoscimento del suo presunto diritto di prelazione (art. 67 cpv. 1 LDFR per analogia). Non avendolo fatto, deve lasciarsi opporre il fatto che la decisione negativa del 13 dicembre 2011 comporta, per legge (art. 132a LEF e 67 cpv. 2 LDFR per analogia), l’annulla­mento dell’aggiudicazione.</w:t>
      </w:r>
    </w:p>
    <w:p>
      <w:r>
        <w:rPr>
          <w:b/>
        </w:rPr>
        <w:t>E. 4</w:t>
      </w:r>
    </w:p>
    <w:p>
      <w:r>
        <w:t>Oltre all’annullamento dell’aggiudicazione, la ricorrente chiede anche che il fondo le venga aggiudicato quale miglior offerente. Orbene, il ricorso contro una realizzazione (giusta gli art. 17, 132a e 259 LEF) può giungere solo al suo annullamento e non alla sostituzione dell’aggiudicatario con un’altra persona. Su questo punto il ricorso è pertanto irricevibile (DTF 119 III 75, cons. 1a; Bettschart , op. cit., n. 6 ad art. 132a, con rif.). Tale soluzione è conforme all’interesse dei creditori, siccome dà l’occasione ad entrambi i litiganti di formulare offerte superiori nella nuova asta.</w:t>
      </w:r>
    </w:p>
    <w:p>
      <w:r>
        <w:rPr>
          <w:b/>
        </w:rPr>
        <w:t>E. 5</w:t>
      </w:r>
    </w:p>
    <w:p>
      <w:r>
        <w:t>Nella misura in cui è ricevibile, il ricorso va pertanto accolto. Non si preleva la tassa di giustizia e non si assegnano indennità (art. 61 cpv. 2 lett. a, e 62 cpv. 2 OTLEF). Richiamati gli art. 17, 20 a , 132a, 143, 259 LEF; 47, 61, 63, 67 LDFR; 61, 62 OTLEF; pronuncia: 1. Nella misura in cui è ricevibile, il ricorso è accolto.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