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15.2011.79 vom 22. September 2011</w:t>
      </w:r>
    </w:p>
    <w:p>
      <w:r>
        <w:t>TI Tribunale d'appello, 2011-09-22, IT</w:t>
      </w:r>
    </w:p>
    <w:p>
      <w:r>
        <w:rPr>
          <w:b/>
        </w:rPr>
        <w:t xml:space="preserve">Quelle: </w:t>
      </w:r>
      <w:r>
        <w:t>https://mcp.opencaselaw.ch/entscheid/ti_gerichte_15.2011.79</w:t>
      </w:r>
    </w:p>
    <w:p>
      <w:r>
        <w:t>FR: TI_GERICHTE 15.2011.79 du 22 septembre 2011</w:t>
      </w:r>
    </w:p>
    <w:p>
      <w:r>
        <w:t>IT: TI_GERICHTE 15.2011.79 del 22 settembre 2011</w:t>
      </w:r>
    </w:p>
    <w:p>
      <w:pPr>
        <w:pStyle w:val="Heading2"/>
      </w:pPr>
      <w:r>
        <w:t>Regeste</w:t>
      </w:r>
    </w:p>
    <w:p>
      <w:r>
        <w:t>Amministrazione coatta di un fondo affidata a un terzo. Contestazione della necessità della misura e della percentuale (5%) versata al terzo come retribuzione. Carattere forfettario della tassa. Modifica di un provvedimento passato in giudicato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Intimazione a:  – avv. PA 1, __________; – RA 1, __________.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