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15.2011.48 vom 6. Mai 2011</w:t>
      </w:r>
    </w:p>
    <w:p>
      <w:r>
        <w:t>TI Tribunale d'appello, 2011-05-06, IT</w:t>
      </w:r>
    </w:p>
    <w:p>
      <w:r>
        <w:rPr>
          <w:b/>
        </w:rPr>
        <w:t xml:space="preserve">Quelle: </w:t>
      </w:r>
      <w:r>
        <w:t>https://mcp.opencaselaw.ch/entscheid/ti_gerichte_15.2011.48</w:t>
      </w:r>
    </w:p>
    <w:p>
      <w:r>
        <w:t>FR: TI_GERICHTE 15.2011.48 du 6 mai 2011</w:t>
      </w:r>
    </w:p>
    <w:p>
      <w:r>
        <w:t>IT: TI_GERICHTE 15.2011.48 del 6 maggio 2011</w:t>
      </w:r>
    </w:p>
    <w:p>
      <w:pPr>
        <w:pStyle w:val="Heading2"/>
      </w:pPr>
      <w:r>
        <w:t>Regeste</w:t>
      </w:r>
    </w:p>
    <w:p>
      <w:r>
        <w:t>Esecuzione in via di pignoramento. Realizzazione di un fondo. Ripartizione. Spese di realizzazione e di riparto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maggio 2011 CJ/fp/fb In nome della Repubblica e Cantone Ticino La Camera di esecuzione e fallimenti del Tribunale d'appello quale autorità di vigilanza composta dei giudici: Pellegrini, presidente, Walser e Bozzini segretario: Jaques statuendo sul ricorso 1° aprile 2011 di RI 1 contro l’operato dell’CO 1, e meglio contro la richiesta 21 marzo 2011, con cui è stato chiesto al ricorrente il pagamento delle spese scoperte sorte in seguito all’incanto del fondo mapp. n. __________ nelle esecuzioni dirette nei confronti di PI 1 , __________ procedure che concernono anche i creditori: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