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15.2011.30 vom 16. März 2011</w:t>
      </w:r>
    </w:p>
    <w:p>
      <w:r>
        <w:t>TI Tribunale d'appello, 2011-03-16, IT</w:t>
      </w:r>
    </w:p>
    <w:p>
      <w:r>
        <w:rPr>
          <w:b/>
        </w:rPr>
        <w:t xml:space="preserve">Quelle: </w:t>
      </w:r>
      <w:r>
        <w:t>https://mcp.opencaselaw.ch/entscheid/ti_gerichte_15.2011.30</w:t>
      </w:r>
    </w:p>
    <w:p>
      <w:r>
        <w:t>FR: TI_GERICHTE 15.2011.30 du 16 mars 2011</w:t>
      </w:r>
    </w:p>
    <w:p>
      <w:r>
        <w:t>IT: TI_GERICHTE 15.2011.30 del 16 marzo 2011</w:t>
      </w:r>
    </w:p>
    <w:p>
      <w:pPr>
        <w:pStyle w:val="Heading2"/>
      </w:pPr>
      <w:r>
        <w:t>Regeste</w:t>
      </w:r>
    </w:p>
    <w:p>
      <w:r>
        <w:t>Pignoramento di salario e notifica al datore di lavoro</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w:t>
      </w:r>
    </w:p>
    <w:p>
      <w:r>
        <w:rPr>
          <w:b/>
        </w:rPr>
        <w:t>E. 2</w:t>
      </w:r>
    </w:p>
    <w:p>
      <w:r>
        <w:t>Nell’esecuzione del pignoramento o del sequestro di salario l’organo di esecuzione forzata allestisce il relativo verbale tenendo conto dei ricavi e delle spese effettivi mensili.</w:t>
      </w:r>
    </w:p>
    <w:p>
      <w:r>
        <w:rPr>
          <w:b/>
        </w:rPr>
        <w:t>E. 3</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4</w:t>
      </w:r>
    </w:p>
    <w:p>
      <w:r>
        <w:t>RI 1 ha chiesto di considerare nella determinazione del suo minino di esistenza l’importo di base, le spese di riscaldamento, le spese accessorie, le spese di trasferta e le varie spese quali le spese mediche e farmaceutiche. A differenza però di quanto asserisce il ricorrente, tutte queste spese sono state conteggiate dall’Ufficio nella determinazione del suo minimo vitale, avvenuta il 1° marzo 2011. Il ricorso deve essere di conseguenza respinto.</w:t>
      </w:r>
    </w:p>
    <w:p>
      <w:r>
        <w:rPr>
          <w:b/>
        </w:rPr>
        <w:t>E. 5</w:t>
      </w:r>
    </w:p>
    <w:p>
      <w:r>
        <w:t>Il pignoramento di salario è in principio eseguito quando il debitore o il suo rappresentante è informato dall’ufficio che una parte del suo stipendio è colpito dal provvedimento esecutivo ed è avvertito esplicitamente sul divieto di disporne senza autorizzazione dell’ufficio, nonché sulle conseguenze penali ex art. 169 CP in caso d’inosservanza (cfr. art. 96 LEF). Siffatta dichiarazione dell’Ufficio (cosiddetta “Pfändungserklärung”, cfr. Amonn/Walther , Grundriss des Schuldbetreibungs - und Konkursrechts, Berna 2008., § 22 n. 53 p. 188 e § 23 n. 70 p. 211) è infatti elemento costitutivo dell’atto di pignoramento (cfr. DTF 112 III 15), atteso che affinché vi sia valido pignoramento di salario dovranno essere indicate espressamente le basi di calcolo della quota pignorabile (cfr. DTF 100 III 13 cons. 2; Amonn/Walther , op. cit., § 23 n.70 p. 211; Fritzsche/Walder , Schuldbetreibung und Konkurs nach schweizerischem Recht, Vol. I, Zurigo 1984, § 24 n. 76 p. 343). Quale misura “cautelare” (cfr. Titolo marginale agli art. 98 e ss. LEF) intesa ad assicurare il mantenimento del substrato esecutivo l’ufficio è tenuto a notificare -pena la responsabilità del Cantone ex art. 5 LEF nel caso l’omissione comportasse un danno ai creditori ( Hunkeler , Kurzkommentar SchKG, Basilea 2009, n. 3 ad art. 98 e n. 10 ad art. 99)- al datore di lavoro (terzo debitore) l’avvenuto pignoramento di salario (CEF, sentenza 12.8.2009, inc. 15.2009.84). Il datore di lavoro sarà avvertito, conformemente all’art. 99 LEF, che l’importo pignorato potrà essere pagato validamente soltanto all’ufficio, cui dovrà essere versato mensilmente (cfr. formulario Mod. 10; Circolare n. 24/2003 del 4 dicembre 2003 di questa Camera; Amonn/Walther , op. cit., § 23 n. 71 p. 211; Vonder Mühll , op. cit, n. 44. ad art. 93). Per questi motivi quindi la decisione presa dall’Ufficio con il provvedimento impugnato è conforme a quanto previsto dalla LEF.</w:t>
      </w:r>
    </w:p>
    <w:p>
      <w:r>
        <w:rPr>
          <w:b/>
        </w:rPr>
        <w:t>E. 6</w:t>
      </w:r>
    </w:p>
    <w:p>
      <w:r>
        <w:t>Da quanto precede discende che il ricorso è respinto . Non si preleva la tassa di giustizia e non si assegnano indennità (art. 61 cpv. 2 lett. a e 62 cpv. 2 OTLEF). Per questi motivi, richiamati gli art. 5, 17, 93, 96 e 99 LEF ; 61 cpv. 2 lett. a e 62 cpv. 2 OTLEF, pronuncia: 1. Il ricorso è respinto. 2. Non si prelevano spese e non si assegnano indennità. 3. Intimazione a: - RI 1, __________; - RA 1, __________. Comunicazione all’CO 1, 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