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15.2011.104 vom 26. Januar 2012</w:t>
      </w:r>
    </w:p>
    <w:p>
      <w:r>
        <w:t>TI Tribunale d'appello, 2012-01-26, IT</w:t>
      </w:r>
    </w:p>
    <w:p>
      <w:r>
        <w:rPr>
          <w:b/>
        </w:rPr>
        <w:t xml:space="preserve">Quelle: </w:t>
      </w:r>
      <w:r>
        <w:t>https://mcp.opencaselaw.ch/entscheid/ti_gerichte_15.2011.104</w:t>
      </w:r>
    </w:p>
    <w:p>
      <w:r>
        <w:t>FR: TI_GERICHTE 15.2011.104 du 26 janvier 2012</w:t>
      </w:r>
    </w:p>
    <w:p>
      <w:r>
        <w:t>IT: TI_GERICHTE 15.2011.104 del 26 gennaio 2012</w:t>
      </w:r>
    </w:p>
    <w:p>
      <w:pPr>
        <w:pStyle w:val="Heading2"/>
      </w:pPr>
      <w:r>
        <w:t>Regeste</w:t>
      </w:r>
    </w:p>
    <w:p>
      <w:r>
        <w:t>Redditi che sono stati risparmiati sono illimitatamente pignorabili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Per l’art. 93 cpv. 1 LEF ogni provento del lavoro, gli usufrutti e il loro prodotto, le rendite vitalizie e gli alimenti, le pensioni e le prestazioni di qualsiasi tipo destinate a risarcire una perdita di guadagno o una pretesa derivante dal diritto al mantenimento, segnatamente le rendite e le indennità che non sono impignorabili giusta l’art. 92, possono essere pignorati in quanto, a giudizio dell’ufficiale, non siano assolutamente necessari al sostentamento del debitore e della sua famiglia.</w:t>
      </w:r>
    </w:p>
    <w:p>
      <w:r>
        <w:rPr>
          <w:b/>
        </w:rPr>
        <w:t>E. 2</w:t>
      </w:r>
    </w:p>
    <w:p>
      <w:r>
        <w:t>Ogni provento del lavoro può essere pignorato per la parte eccedente il minimo di esistenza dell’escusso (cfr. art. 93 cpv. 1 LEF). Questa regola, che va applicata d’ufficio, è anche applicabile in materia di esecuzione del sequestro (cfr. art. 275 LEF; Reiser , Basler Kommentar zum SchKG, vol. II, 2a ed., Basilea 2010, n. 65 ad art. 275; Gilliéron , Commentaire de la LP, vol. II, Losanna 2000, n. 11 ad art. 93).</w:t>
      </w:r>
    </w:p>
    <w:p>
      <w:r>
        <w:rPr>
          <w:b/>
        </w:rPr>
        <w:t>E. 3</w:t>
      </w:r>
    </w:p>
    <w:p>
      <w:r>
        <w:t>Per “provento del lavoro” si intende ogni prestazione, in denaro o in natura, costituente la retribuzione di un lavoro personale, svolto sia quale dipendente che quale indipendente (cfr. Vonder Mühll , Basler Kommentar zum SchKG, vol. I, 2a ed., Basilea 2010, n. 3 ad art. 93; Gilliéron , op. cit., n. 26 ad art. 93, con rif.). In particolare ricadono pure sotto questa nozione le somme effettivamente percepite o dovute al gerente di una società anonima (cfr. DTF 85 III 44-45).</w:t>
      </w:r>
    </w:p>
    <w:p>
      <w:r>
        <w:rPr>
          <w:b/>
        </w:rPr>
        <w:t>E. 4</w:t>
      </w:r>
    </w:p>
    <w:p>
      <w:r>
        <w:t>Tutti i redditi - finanche quelli assolutamente impignorabili quali ad esempio le rendite AVS/AI/PC (art. 92 cpv. 1 n. 9a LEF), che sono stati risparmiati - sono (illimitatamente) pignorabili (DTF 115 III 48, cons. 1b; 59 III 116; Ochsner , Commentaire romand de la LP, Basilea/Ginevra/ Monaco 2005, n. 17 ad art. 93; Hunkeler , Kurzkommentar SchKG, Basilea 2009, n. 70 ad art. 92 e rif. ivi; Vonder Mühll, op. cit., n. 59 ad art. 92). Nel caso concreto l’importo di fr. 277'036.22 depositato presso l’Ufficio e corrisposto dalla __________ quale saldo degli onorari vantati dal ricorrente con due versamenti del 14 settembre 2011 e del 2 dicembre 2011 è equiparabile ad un risparmio effettuato sui proventi da attività lavorativa indipendente e come tale deve essere interamente pignorato.</w:t>
      </w:r>
    </w:p>
    <w:p>
      <w:r>
        <w:rPr>
          <w:b/>
        </w:rPr>
        <w:t>E. 5</w:t>
      </w:r>
    </w:p>
    <w:p>
      <w:r>
        <w:t>Da quanto precede discende che il ricorso è respinto . Non si preleva la tassa di giustizia e non si assegnano indennità (art. 61 cpv. 2 lett. a e 62 cpv. 2 OTLEF). Per questi motivi, richiamati gli art. 17, art. 92, 93 cpv. 1 LEF; 61 cpv. 2 lett. a e 62 cpv. 2 OTLEF, pronuncia: 1. Il ricorso è respinto. 2. Non si prelevano spese e non si assegnano indennità. 3. Intimazione a: - __________. PA 1, __________; - __________. PA 2, __________. Comunicazione all’CO 1, __________. Per la Camera di esecuzione e fallimenti del Tribunale d’appello quale autorità di vigilanza Il presidente                                                                             Il segretario Contro la presente decisione -a norma dell’art. 72 e segg. LTF- è possibile presentare ricorso in materia civile al Tribunale federale, 1000 Losanna 14, entro 10 giorni dalla notificazione, il termine è di 5 giorni dalla notificazione nel caso in cui la decisione impugnata è stata pronunciata nell’ambito di un’esecuzione cambiaria.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