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15.2007.30 vom 9. August 2007</w:t>
      </w:r>
    </w:p>
    <w:p>
      <w:r>
        <w:t>TI Tribunale d'appello, 2007-08-09, IT</w:t>
      </w:r>
    </w:p>
    <w:p>
      <w:r>
        <w:rPr>
          <w:b/>
        </w:rPr>
        <w:t xml:space="preserve">Quelle: </w:t>
      </w:r>
      <w:r>
        <w:t>https://mcp.opencaselaw.ch/entscheid/ti_gerichte_15.2007.30</w:t>
      </w:r>
    </w:p>
    <w:p>
      <w:r>
        <w:t>FR: TI_GERICHTE 15.2007.30 du 9 août 2007</w:t>
      </w:r>
    </w:p>
    <w:p>
      <w:r>
        <w:t>IT: TI_GERICHTE 15.2007.30 del 9 agosto 2007</w:t>
      </w:r>
    </w:p>
    <w:p>
      <w:pPr>
        <w:pStyle w:val="Heading2"/>
      </w:pPr>
      <w:r>
        <w:t>Regeste</w:t>
      </w:r>
    </w:p>
    <w:p>
      <w:r>
        <w:t>Amministrazione coatta di bene immobile. Compiti dell'amministrazione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L’amministrazione coatta del fondo oggetto di esecuzione deve essere assunta dall’organo di esecuzione forzata alle condizioni previste dalla LEF e dal CC, che distinguono fra esecuzione ordinaria ed esecuzione in via di pignoramento e quella in via di realizzazione del pegno (cfr. Circolare n. 14/1999 del 13 agosto 1999 di questa Camera sui doveri degli Uffici di esecuzione in caso di fondi in locazione, in particolare in relazione al blocco delle pigioni e dei fitti e all’assunzione dell'amministrazione del fondo).</w:t>
      </w:r>
    </w:p>
    <w:p>
      <w:r>
        <w:rPr>
          <w:b/>
        </w:rPr>
        <w:t>E. 1.1</w:t>
      </w:r>
    </w:p>
    <w:p>
      <w:r>
        <w:t>Di conseguenza è annullato il provvedimento 14 febbraio 2007 dell’CO 1 nelle esecuzioni n. __________ e n. __________ promosse da PI 1 contro i ricorrenti.</w:t>
      </w:r>
    </w:p>
    <w:p>
      <w:r>
        <w:rPr>
          <w:b/>
        </w:rPr>
        <w:t>E. 1.2</w:t>
      </w:r>
    </w:p>
    <w:p>
      <w:r>
        <w:t>Gli atti sono retrocessi CO 1 affinché si determini come al considerando 2 di questa sentenza. 2. Non si prelevano spese, né si assegnano indennità. 3. Intimazione: __________ RA 1, __________; - __________ RA 2, __________. Comunicazione all’CO 1. Per la Camera di esecuzione e fallimenti del Tribunale d’appello quale autorità di vigilanza Il presidente                                                           Il segretario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>
      <w:r>
        <w:rPr>
          <w:b/>
        </w:rPr>
        <w:t>E. 2</w:t>
      </w:r>
    </w:p>
    <w:p>
      <w:r>
        <w:t>Tra le prerogative dell’amministrazione coatta - che avviene non solo nell’interesse del creditore ipotecario, ma anche in quello del debitore-proprietario, dal momento che maggiori sono gli utili dell’amministrazione coatta, minore sarà il debito finale dell’escusso - vi è dunque anche quella di stipulare nuovi contratti di locazione (cfr. anche Circolare citata n. 3.2.d). Nel caso di specie pertanto, a fronte dell’offerta</w:t>
      </w:r>
    </w:p>
    <w:p>
      <w:r>
        <w:rPr>
          <w:b/>
        </w:rPr>
        <w:t>E. 5</w:t>
      </w:r>
    </w:p>
    <w:p>
      <w:r>
        <w:t>febbraio 2007 della __________, l’amministrazione del fondo è libera di scegliere un altro conduttore, che sia pronto a pagare un canone di locazione superiore e/o fornisca migliori garanzie di solvibilità. 3. Non si prelevano spese (art. 61 cpv. 2 lett. a OTLEF) e non si assegnano indennità (art. 62 cpv. 2 OTLEF). Per questi motivi; richiamati gli art. 17, 102 cpv. 1, 2, 3 LEF; 14 cpv. 1, 15 cpv. 1 lett. b, 16 cpv. 3, 17, 18, 91, 93 RFF; 647a, 806 CC; 61 cpv. 2 lett. a, 62 cpv. 2 OTLEF pronuncia :                1. Il ricorso 23 febbraio 2007 di RI 1, __________, e di RI 2, __________, è accolto.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