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15.2007.26 vom 6. Juli 2007</w:t>
      </w:r>
    </w:p>
    <w:p>
      <w:r>
        <w:t>TI Tribunale d'appello, 2007-07-06, IT</w:t>
      </w:r>
    </w:p>
    <w:p>
      <w:r>
        <w:rPr>
          <w:b/>
        </w:rPr>
        <w:t xml:space="preserve">Quelle: </w:t>
      </w:r>
      <w:r>
        <w:t>https://mcp.opencaselaw.ch/entscheid/ti_gerichte_15.2007.26</w:t>
      </w:r>
    </w:p>
    <w:p>
      <w:r>
        <w:t>FR: TI_GERICHTE 15.2007.26 du 6 juillet 2007</w:t>
      </w:r>
    </w:p>
    <w:p>
      <w:r>
        <w:t>IT: TI_GERICHTE 15.2007.26 del 6 luglio 2007</w:t>
      </w:r>
    </w:p>
    <w:p>
      <w:pPr>
        <w:pStyle w:val="Heading2"/>
      </w:pPr>
      <w:r>
        <w:t>Regeste</w:t>
      </w:r>
    </w:p>
    <w:p>
      <w:r>
        <w:t>Ricorso per denegata o ritardata giustizia. Trafugamento di beni pignorati. Spese del pignoramento</w:t>
      </w:r>
    </w:p>
    <w:p>
      <w:pPr>
        <w:pStyle w:val="Heading2"/>
      </w:pPr>
      <w:r>
        <w:t>Erwägungen</w:t>
      </w:r>
    </w:p>
    <w:p>
      <w:r>
        <w:rPr>
          <w:b/>
        </w:rPr>
        <w:t>E. 1</w:t>
      </w:r>
    </w:p>
    <w:p>
      <w:r>
        <w:t>a. La ricorrente si lamenta perché l’Ufficio non avrebbe dato seguito alle proprie richieste, sia scritte che verbali, di informarsi presso g li attuali proprietari della particella n. __________ di __________ su chi avesse asportato il box prefabbricato pignorato nelle esecuzioni n. __________, n. __________, n. __________ e n. __________. b. Giusta l’art. 17 cpv. 3 LEF è ammesso in ogni tempo il ricorso per denegata o ritardata giustizia: la ricorrente avrebbe pertanto potuto chiedere, pendenti le procedure esecutive a favore delle quali il box prefabbricato è stato pignorato, all’autorità di vigilanza, mediante un ricorso per ritardata giustizia, di sanzionare l’inattività dell’Ufficio. Tuttavia l’omissione di adottare determinate misure di gestione rispettivamente determinati provvedimenti può dar luogo a un ricorso per ritardata giustizia all’autorità di vigilanza solo fintanto che l’esecuzione è in corso. Orbene, nel caso in esame, le esecuzioni n. __________, n. __________, n. __________ e n. __________ hanno avuto termine con l’emissione degli attestati di carenza beni avvenuta l’8 febbraio 2006 e rimasta inimpugnata da parte della ricorrente. Ne consegue quindi che in concreto non risulta necessario appurare, mediante complementi istruttori, se l’Ufficio, reso attento che un bene pignorato è stato trafugato, abbia realmente omesso qualsiasi approfondimento al riguardo, atteso che non sta più nel potere di questa Camera di ordinare, sia direttamente che per il tramite dell’Ufficio, l’adozione di provvedimenti nell’ambito di procedure esecutive ormai concluse.</w:t>
      </w:r>
    </w:p>
    <w:p>
      <w:r>
        <w:rPr>
          <w:b/>
        </w:rPr>
        <w:t>E. 1.1</w:t>
      </w:r>
    </w:p>
    <w:p>
      <w:r>
        <w:t>Di conseguenza la tassa per l’esecuzione del pignoramento è determinata: - in fr. 4.50 per l’esecuzione n. 702098; - in fr. 4.50 per l’esecuzione n. 702099; - in fr. 3.50 per l’esecuzione n. 702100; - in fr. 9.90 per l’esecuzione n. 704622; - in fr. 3.80 per l’esecuzione n. 704623; - in fr . 3.50 per l’esecuzione n. 704624; - in fr. 2.80 per l’esecuzione n. 704625. 2. Non si prelevano spese e non si assegnano indennità. 3. Intimazione a: - RI 1, __________; - RA 1, __________; - __________,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a. La ricorrente chiede all’autorità di vigilanza di intervenire presso i proprietari del terreno sul quale il box prefabbricato si trovava al momento del pignoramento per recuperarlo e venderlo, alfine di annullare gli attestati di carenza beni emessi nelle esecuzioni n. __________, n. __________ , n. __________, n. __________, n. __________, n. __________ e n. __________ . b. Dalla documentazione agli atti, segnatamente dagli scritti e dalle argomentazioni della ricorrente, emerge che il box prefabbricato è stato trafugato (da terzi) già prima del 25 ottobre 2005 e che da allora non è più comparso, sebbene siano trascorsi quasi due anni e l’escussa abbia pure adito le vie penali. In siffatte circostanze vi è da ritenere che la possibilità di poter ancora recuperare il bene sottratto, malgrado il tempo trascorso dal trafugamento e dall’intervento delle autorità penali, altro non è che una mera aspettativa. Non potendo però portare il pignoramento su delle semplici aspettative (cfr. Foëx , Basler Kommentar zum SchKG, Basilea/Ginevra/Monaco 1998, vol. II, n. 18 ad art. 95; de Gottrau , Commentaire romand de la LP, Basilea/Ginevra/ Monaco 2005, n. 12 ad art. 95 con riferimenti), la richiesta formulata dalla creditrice non può venir accolta.</w:t>
      </w:r>
    </w:p>
    <w:p>
      <w:r>
        <w:rPr>
          <w:b/>
        </w:rPr>
        <w:t>E. 3</w:t>
      </w:r>
    </w:p>
    <w:p>
      <w:r>
        <w:t>Come ben rileva la ricorrente nelle esecuzioni n. __________, n. __________ , n. __________, n. __________, n. __________, n. __________ e n. __________ l’Ufficio ha conteggiato l’importo di fr. 12.50 per procedura a titolo di spesa per l’esecuzione del pignoramento quando nulla è stato pignorato per mancanza di beni pignorabili. Per l’esecuzione del pignoramento e per la stesura del verbale di pignoramento per un credito tra fr. 1'000.-- e fr. 10'000.-- la tassa è di fr. 65.-- (art. 20 cpv. 1 OTLEF). La tassa è dovuta non solo quando il pignoramento è fruttuoso ma anche quando lo stesso non lo è. In quest’ultima ipotesi l’ufficio percepisce una tassa pari alla metà di quella prevista al capoverso 1 dell’art. 20 OTLEF, ma di fr. 10.-- almeno (art. 20 cpv. 2 OTLEF). Il pignoramento simultaneo per diversi crediti contro il medesimo debitore è considerato pignoramento unico. La tassa è calcolata sull’ammontare complessivo dei crediti (art. 23 cpv. 1 OTLEF). In questo caso la tassa è ripartita fra le singole esecuzioni in proporzione all’ammontare dei crediti (art. 23 cpv. 2 OTLEF). Orbene essendo i crediti posti in esecuzione pari a fr. 235.10, fr. 235.10, fr. 183.85, fr. 496.15, fr. 193.55, fr. 183.35 e a fr. 145.05, la tassa, unica per tutte le esecuzioni dell’importo complessivo di fr. 1'672.15, è di fr. 65.--, importo che deve essere dimezzato perché il pignoramento è stato infruttuoso. La somma di fr. 32.50 deve poi essere suddivisa tra le esecuzioni entranti in linea di conto in proporzione all’ammontare dei relativi crediti, e quindi nella misura di fr. 4.50 per l’esecuzione n. __________ e n. __________ , di fr. 3.50 per l’esecuzione n. __________, di fr. 9.90 per l’esecuzione n. __________, di fr. 3.80 per l’esecuzione n. __________, di fr. 3.50 per l’esecuzione n. __________ e di fr. 2.80 per l’esecuzione n. __________. In questo senso vanno rettificati gli importi riferiti alle spese per l’esecuzione del pignoramento.</w:t>
      </w:r>
    </w:p>
    <w:p>
      <w:r>
        <w:rPr>
          <w:b/>
        </w:rPr>
        <w:t>E. 4</w:t>
      </w:r>
    </w:p>
    <w:p>
      <w:r>
        <w:t>a. La ricorrente chiede all’Autorità di vigilanza di decidere sull’offerta di fr. 400.-- riferita all’acquisto della motosega a benzina, del decespugliatore e del vibratore elettrico, che non sono più riparabili. b. I beni a cui la ricorrente fa riferimento sono stati pignorati nelle esecuzioni n. __________, n. __________, n. __________ e n. __________, procedure che hanno avuto termine con l’emissione degli attestati di carenza beni dell’8 febbraio 2006. Essi non sono invece stati oggetto di pignoramento nell’ambito delle esecuzioni n. __________, n. __________ , n. __________, n. __________, n. __________, n. __________ e n. __________ , perché al momento dell’esecuzione lo stesso l’Ufficio era a conoscenza dell’impossibilità di ripararli. Omettendo di eseguire il pignoramento, l’Ufficio ha agito correttamente, atteso che per l’art. 92 cpv. 2 LEF quando, come nel caso di specie, il valore degli oggetti pignorabili non risulta nemmeno sufficiente a coprire le spese di realizzazione, l’Ufficio deve rinunciare a pignorarli (art. 92 cpv. 2 LEF), rispettivamente a realizzarli ( Rutz , Basler Kommentar zum SchKG, vol. II, Basilea/ Ginevra/Monaco 1998, n. 4 ad art. 127) , a meno che un creditore ne chieda la realizzazione anticipandone le relative spese (cfr. art. 68 LEF). In assenza di beni pignorati, l’Ufficio rispettivamente l’autorità di vigilanza non sono legittimati a decidere sulle modalità di una loro eventuale realizzazione.</w:t>
      </w:r>
    </w:p>
    <w:p>
      <w:r>
        <w:rPr>
          <w:b/>
        </w:rPr>
        <w:t>E. 5</w:t>
      </w:r>
    </w:p>
    <w:p>
      <w:r>
        <w:t>I l ricorso 2 marzo 2007 di RI 1, __________, è parzialmente accolto. Non si preleva la tassa di giustizia e non si assegnano indennità (art. 61 cpv. 2 lett. a e 62 cpv. 2 OTLEF). Per questi motivi, richiamati gli art. 17 cpv. 3, 68, 92 cpv. 2 LEF ; 20 cpv. 1 e 2, 23 cpv. 1 e 2, 61 cpv. 2 lett. a e 62 cpv. 2 OTLEF; pronuncia: 1. Il ricorso 2 marzo 2007 di RI 1,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