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15.2007.114 vom 5. Mai 2008</w:t>
      </w:r>
    </w:p>
    <w:p>
      <w:r>
        <w:t>TI Tribunale d'appello, 2008-05-05, IT</w:t>
      </w:r>
    </w:p>
    <w:p>
      <w:r>
        <w:rPr>
          <w:b/>
        </w:rPr>
        <w:t xml:space="preserve">Quelle: </w:t>
      </w:r>
      <w:r>
        <w:t>https://mcp.opencaselaw.ch/entscheid/ti_gerichte_15.2007.114</w:t>
      </w:r>
    </w:p>
    <w:p>
      <w:r>
        <w:t>FR: TI_GERICHTE 15.2007.114 du 5 mai 2008</w:t>
      </w:r>
    </w:p>
    <w:p>
      <w:r>
        <w:t>IT: TI_GERICHTE 15.2007.114 del 5 maggio 2008</w:t>
      </w:r>
    </w:p>
    <w:p>
      <w:pPr>
        <w:pStyle w:val="Heading2"/>
      </w:pPr>
      <w:r>
        <w:t>Regeste</w:t>
      </w:r>
    </w:p>
    <w:p>
      <w:r>
        <w:t>Cambiamento di creditore in corso di procedura esecutiva. Possibilità di ricorso contro la continuazione dell'esecuzione. Questioni di merito. Atto di pignoramento e verbale di pignoramento</w:t>
      </w:r>
    </w:p>
    <w:p>
      <w:pPr>
        <w:pStyle w:val="Heading2"/>
      </w:pPr>
      <w:r>
        <w:t>Erwägungen</w:t>
      </w:r>
    </w:p>
    <w:p>
      <w:r>
        <w:rPr>
          <w:b/>
        </w:rPr>
        <w:t>E. 1.1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ed in diritto del medesimo tenore ma anche ove formulino tesi divergenti.</w:t>
      </w:r>
    </w:p>
    <w:p>
      <w:r>
        <w:rPr>
          <w:b/>
        </w:rPr>
        <w:t>E. 1.2</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seg., ed i rif. in nota 6).</w:t>
      </w:r>
    </w:p>
    <w:p>
      <w:r>
        <w:rPr>
          <w:b/>
        </w:rPr>
        <w:t>E. 1.3</w:t>
      </w:r>
    </w:p>
    <w:p>
      <w:r>
        <w:t>I ricorsi 13 novembre 2007 di RI 1 e di RI 2, presentati in un atto unico, in quanto sviluppano allegazioni fattuali e in diritto del medesimo tenore, possono essere congiunti.</w:t>
      </w:r>
    </w:p>
    <w:p>
      <w:r>
        <w:rPr>
          <w:b/>
        </w:rPr>
        <w:t>E. 2</w:t>
      </w:r>
    </w:p>
    <w:p>
      <w:r>
        <w:t>La cessione di un credito conformemente all’art. 170 cpv. 1 CO provoca, in particolare, il trasferimento dei diritti accessori, tra cui quelli acquisiti nell’esecuzione dal precedente creditore ( Bessenich, Basler Kommentar zum SchKG, Basilea/Ginevra/ Monaco 1998, Vol. I, n. 3 e</w:t>
      </w:r>
    </w:p>
    <w:p>
      <w:r>
        <w:rPr>
          <w:b/>
        </w:rPr>
        <w:t>E. 2.1</w:t>
      </w:r>
    </w:p>
    <w:p>
      <w:r>
        <w:t>Non si prelevano spese, né si assegnano indennità. 3. Il ricorso 13 novembre 2007 di RI 2, __________, è respinto. 3.1. Non si prelevano spese, né si assegnano indennità. 4. Intimazione a: - __________ __________, __________; - __________ 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5</w:t>
      </w:r>
    </w:p>
    <w:p>
      <w:r>
        <w:t>La contestazione sollevata dai ricorrenti, secondo cui la pretesa dedotta in esecuzione con i PE n. __________ sarebbe inesistente perché trarrebbe origine da atti delittuosi concerne unicamente una questione di merito, sottratta al potere di cognizione di questa autorità di vigilanza. Tale eccezione avrebbe dovuto essere fatte valere, dopo aver interposto opposizione, nell’ambito della procedura di rigetto dell’opposizione oppure, nella pendente azione di disconoscimento di debito, nell’ipotesi che in concreto ne siano realizzati i presupposti.</w:t>
      </w:r>
    </w:p>
    <w:p>
      <w:r>
        <w:rPr>
          <w:b/>
        </w:rPr>
        <w:t>E. 6</w:t>
      </w:r>
    </w:p>
    <w:p>
      <w:r>
        <w:t>Per ogni pignoramento viene steso un verbale (atto di pignoramento) sottoscritto dall’ufficiale o dall’impiegato che vi procede (art. 112 cpv. 1 LEF). L’atto di pignoramento dell’art. 112 LEF non deve pertanto essere sottoscritto anche dall’escusso. Questo atto di pignoramento ha comunque unicamente una funzione dichiarativa e il pignoramento viene di regola eseguito con la sottoscrizione da parte dell'escusso o di un suo rappresentante (art. 91 cpv. 1 n. 1 LEF) del verbale per le operazioni di pignoramento (in seguito verbale di pignoramento; cfr. Modulo 6; Jent-Soerensen , Basler Kommentar zum SchKG, Vol. II, Basilea/Ginevra/Monaco 1998, n. 2 e 3 ad art. 112 LEF). Nel caso di specie nell’incarto dellCO 1 figurano i due verbali di pignoramento (detti verbali “interni”), che non sono stati sottoscritti dai debitori RI 1 e RI 2. Questa omissione non comporta però, come parrebbero sostenere i ricorrenti, l’annullabilità dell’atto di pignoramento: infatti, esattamente come nel caso in cui l’ufficio omette di allestire il Modulo 6, l’assenza di sottoscrizione da parte del debitore ha quale unica conseguenza che in caso di contestazione sull’esecuzione del pignoramento sarà compito dell’ufficio dimostrare l’inesattezza dei fatti allegati dall’escusso ( Jeandin/Sabeti , Commentaire romand de la LP, Basilea/Ginevra/Monaco 2005, n. 6 ad art. 112; DTF 73 III 75).</w:t>
      </w:r>
    </w:p>
    <w:p>
      <w:r>
        <w:rPr>
          <w:b/>
        </w:rPr>
        <w:t>E. 7</w:t>
      </w:r>
    </w:p>
    <w:p>
      <w:r>
        <w:t>I ricorsi 13 novembre 2007 di RI 1 e di RI 2 sono respinti Non si preleva la tassa di giustizia e non si assegnano indennità (art. 61 cpv. 2 lett. a e 62 cpv. 2 OTLEF). Per questi motivi, richiamati gli art. 17, 85, 91 cpv. 1 n. 1, 112 LEF; 170 CO; 5 cpv. 1 LPR; 51 LPamm; 61 cpv. 2 lett. a e 62 cpv. 2 OTLEF pronuncia: 1. Le procedure dipendenti dai ricorsi 13 novembre 2007 di RI 1, __________, e RI 2, __________, sono congiunte. 2. Il ricorso 13 novembre 2007 di RI 1,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