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15.2006.61 vom 4. August 2006</w:t>
      </w:r>
    </w:p>
    <w:p>
      <w:r>
        <w:t>TI Tribunale d'appello, 2006-08-04, IT</w:t>
      </w:r>
    </w:p>
    <w:p>
      <w:r>
        <w:rPr>
          <w:b/>
        </w:rPr>
        <w:t xml:space="preserve">Quelle: </w:t>
      </w:r>
      <w:r>
        <w:t>https://mcp.opencaselaw.ch/entscheid/ti_gerichte_15.2006.61</w:t>
      </w:r>
    </w:p>
    <w:p>
      <w:r>
        <w:t>FR: TI_GERICHTE 15.2006.61 du 4 août 2006</w:t>
      </w:r>
    </w:p>
    <w:p>
      <w:r>
        <w:t>IT: TI_GERICHTE 15.2006.61 del 4 agosto 2006</w:t>
      </w:r>
    </w:p>
    <w:p>
      <w:pPr>
        <w:pStyle w:val="Heading2"/>
      </w:pPr>
      <w:r>
        <w:t>Regeste</w:t>
      </w:r>
    </w:p>
    <w:p>
      <w:r>
        <w:t>Pignorabilità degli oggetti vincolati a diritto di ritenzione del locatore e appartenenti a persone giuridiche.</w:t>
      </w:r>
    </w:p>
    <w:p>
      <w:pPr>
        <w:pStyle w:val="Heading2"/>
      </w:pPr>
      <w:r>
        <w:t>Erwägungen</w:t>
      </w:r>
    </w:p>
    <w:p>
      <w:r>
        <w:rPr>
          <w:b/>
        </w:rPr>
        <w:t>E. 1</w:t>
      </w:r>
    </w:p>
    <w:p>
      <w:r>
        <w:t>a) Il locatore di locali commerciali ha un diritto di ritenzione sulle cose mobili che vi si trovano e servono al loro uso e godimento: il diritto si estende in termini temporali alla pigione annuale scaduta e a quella del semestre in corso (art. 268 cpv. 1 CO). La LEF ha previsto disposizioni speciali in materia di pigioni e affitti. Infatti, giusta l’art. 283 cpv. 1 LEF anche prima di iniziare l’esecuzione, il locatore di locali commerciali può domandare l’assistenza dell’ufficio di esecuzione per la provvisoria tutela del suo diritto di ritenzione. L’ufficio fa l’inventario degli oggetti vincolati al diritto di ritenzione e fissa al locatore un termine per promuovere l’esecuzione in via di realizzazione del pegno (art. 283 cpv. 3 LEF). Sono esenti dal diritto di ritenzione gli oggetti che non potrebbero essere pignorati dai creditori del conduttore (cfr. art. 268 cpv. 3 CO; Schnyder/Wiede , Basler Kommentar zum SchKG, Basilea/Ginevra/Monaco 1998, n. 26 ad art. 283 LEF). b) Sulla pignorabilità degli oggetti inventariati decide l’organo d’esecuzione e, su ricorso, l’autorità di vigilanza ( DTF 82 III p. 85 ss; cfr. Amonn/ Walther, Grundriss des Schuldbetreibungs- und Konkursrechts, Berna 2003, § 34 n. 20 p. 276). c) Giusta l’art. 92 cpv. 1 n. 3 LEF sono esclusi dal pignoramento gli arnesi, gli apparecchi, gli strumenti e i libri, in quanto siano necessari al debitore e alla sua famiglia per l’esercizio della professione.</w:t>
      </w:r>
    </w:p>
    <w:p>
      <w:r>
        <w:rPr>
          <w:b/>
        </w:rPr>
        <w:t>E. 2</w:t>
      </w:r>
    </w:p>
    <w:p>
      <w:r>
        <w:t>Le persone giuridiche e le società commerciali non beneficiano però della protezione legale degli art. 92 e 93 LEF, essendo le stesse soggette all’esecuzione con tutto il loro patrimonio (DTF 67 III 21; Amonn/ Walther, op.cit., § 23 n. 24 p. 170; Antoine Favre , Droit de poursuite, Fribourg 1974, p.182). Per questo motivo quindi anche se parte dei beni inventariari servono effettivamente alla ricorrente per espletare la propria attività aziendale, l’ufficio si è correttamente determinato includendoli nell’inventario.</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 avv. RA 1, __________; - RA 2 , __________. Comunicazione all’CO 1,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