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15.2006.38 vom 12. Februar 2007</w:t>
      </w:r>
    </w:p>
    <w:p>
      <w:r>
        <w:t>TI Tribunale d'appello, 2007-02-12, IT</w:t>
      </w:r>
    </w:p>
    <w:p>
      <w:r>
        <w:rPr>
          <w:b/>
        </w:rPr>
        <w:t xml:space="preserve">Quelle: </w:t>
      </w:r>
      <w:r>
        <w:t>https://mcp.opencaselaw.ch/entscheid/ti_gerichte_15.2006.38</w:t>
      </w:r>
    </w:p>
    <w:p>
      <w:r>
        <w:t>FR: TI_GERICHTE 15.2006.38 du 12 février 2007</w:t>
      </w:r>
    </w:p>
    <w:p>
      <w:r>
        <w:t>IT: TI_GERICHTE 15.2006.38 del 12 febbraio 2007</w:t>
      </w:r>
    </w:p>
    <w:p>
      <w:pPr>
        <w:pStyle w:val="Heading2"/>
      </w:pPr>
      <w:r>
        <w:t>Regeste</w:t>
      </w:r>
    </w:p>
    <w:p>
      <w:r>
        <w:t>Provvedimenti conservativi ex art. 39 CL. Pignoramento provvisorio. Competenza dell'autorità di vigilanza. Pignorabilità dei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Alla stessa stregua, i terzi non devono poter rimettere in discussione l’exequatur allo stadio dell’esecuzione forzata della decisione estera.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Non è d’altronde contestato che la ricorrente sia la destinataria diretta dell’avviso di pignoramento provvisorio impugnato né che essa sia formalmente titolare del conto corrente n° __________ sul quale l’Ufficio, con l’altro provvedimento contestato, ha chiesto informazioni a PI 3. RI 1 era pertanto legittimata a ricorrere contro entrambi i provvedimenti. Non vi è poi prova che la ricorrente ne abbia avuto conoscenza prima dell’8 marzo 2006. Il ricorso, interposto lunedì 20 marzo 2006, è di conseguenza tempestivo. 2. Come l’ha ricordato la Camera nell’ordinanza 19 aprile 2006, in replica sono ammessi solo motivi rilevanti e nuovi, ovvero che non erano già proponibili con il ricorso (cfr. Cometta , Commentario alla LPR, CFPG n. 3, Lugano 1998, n. 1.1.2 ad art. 12). In questa ottica, la replica 14 aprile 2006 di RI 1 appare ammissibile. In effetti, nel breve termine di ricorso di 10 giorni, era quasi impossibile per la ricorrente – presunta estranea alla lite – assumere tutte le informazioni necessarie a capire pienamente una procedura particolarmente complessa, lunga e nuova dal punto di vista legislativo e giurisprudenziale. Ma soprattutto, le allegazioni di PI 1, per lo più (ad eccezione di quelle contenute nello scritto 9 febbraio 2006), non sono agli atti dell’Ufficio, il quale ha agito motu proprio sulla base della sentenza della seconda Camera civile. È quindi giusto che la ricorrente possa esercitare il suo diritto di essere sentita presentando una replica. Per quanto attiene alle motivazioni giuridiche, esse sarebbero ovviamente potute essere fatte valere già con il ricorso, ma la questione della loro ricevibilità è comunque irrilevante, visto che l’autorità di vigilanza è tenuta ad applicare il diritto d’ufficio ( iura novit curia , art. 19 cpv. 1 LPR; cfr. pure Cocchi/Trezzini , CPC-TI, Lugano 2000, n. 34 ss. ad art. 78). Le dupliche non contengono fatti, prove o eccezioni nuovi e sono pertanto ammissibili. 3. La ricorrente non ha esplicitamente contestato l’esecuzione del pignoramento del conto corrente n° __________, avvenuta già il 4 febbraio, rispettivamente il 9 novembre 2005 con la comunicazione dell’avviso di pignoramento a PI 3. Si deve tuttavia considerare che la contestazione dell’avviso di pignoramento notificato alla ricorrente il 7 marzo 2006 contempli anche detto conto, sul quale l’argomentazione delle parti è del resto incentrata. 3.1. Come la scelta del tipo di provvedimento conservativo da ordinare anche la questione di sapere a quali condizioni un simile provvedimento può essere diretto contro un terzo è retta dal diritto interno dello Stato in cui deve aver luogo l’esecuzione ( Kropholler , op. cit., n. 5 ad art. 39). Il legislatore federale avendo rinunciato a disciplinare l’esecuzione dei provvedimenti conservativi fondati sull’art. 39 CL, spetta esclusivamente al giudice dell’exequatur, come per le altre modalità d’esecuzione delle misure da lui ordinate, determinare la cerchia dei beni sui quali esse devono essere eseguite, con effetto vincolante per le autorità esecutive (cfr. DTF 131 III 664 s., cons. 4.5 a contrario e supra ad cons. 1.1/b). La cognizione delle autorità esecutive è invece limitata alle questioni di pura esecuzione in merito alle quali il giudice dell’exequatur non ha ordinato disposizioni particolari e vanno risolte sulla base delle norme del diritto esecutivo svizzero così come esse vengono interpretate nelle relazioni interne (cfr. DTF 131 III 664 cons. 4.4). 3.2. Nel caso concreto, la seconda Camera civile ha fornito nella sua decisione 31 gennaio 2005 due indicazioni che vincolano l’Ufficio e l’autorità di vigilanza riguardo alla determinazione dei beni da pignorare. a) Anzitutto, la seconda Camera civile ha precisato che il pignoramento provvisorio doveva in particolare estendersi a “tutti i beni e crediti di cui al pignoramento provvisorio n. __________ dell’CO 1”. Ebbene, questo provvedimento era fondato sul decreto 26 marzo 2003 (inc. __________) del Pretore __________, il quale aveva in particolare ordinato il pignoramento provvisorio “presso la PI 3, __________,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Ora, non è il luogo per la ricorrente di rimettere in discussione l’ordine dei giudici dell’exequatur. Semmai – questione che comunque non compete all’autorità di vigilanza – RI 1 avrebbe dovuto impugnare la decisione del 31 gennaio 2005 (cfr. supra cons. 1.1/b). b) Inoltre, la seconda Camera civile ha ordinato un “pignoramento provvisorio ai sensi dell’art. 83 LEF” e non un sequestro. Di conseguenza, anche se essa non avesse dato altre indicazioni, le autorità di esecuzione avrebbero comunque dovuto risolvere il quesito sollevato dalla ricorrente in base alle norme applicabili al pignoramento. Ebbene, in tale ambito, 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formalmente a un terzo, giacché sussiste il dubbio che l’escusso ne sia proprietario così come nei casi in cui la rivendicazione del terzo sembra fondata su un atto revocabile o sembra abusiva. In particolare l’ufficio deve pignorare i beni che l’escutente o l’escusso indicano come facente parte del patrimonio di quest’ultimo; in caso di contestazione del terzo, la controversia andrà risolta nella procedura di rivendicazione (art. 106 e segg. LEF). Tuttavia, se la proprietà del terzo è manifesta, specialmente quando esso è titolare del conto di cui il procedente chiede il pignoramento, la richiesta di quest’ultimo deve essere motivata (cfr. C. Jaques , La saisie et le séquestre des droits patrimoniaux dont le débiteur est l’ayant droit économique, ZZZ 2005, 343 ad 3.5.2, con rif.). Nel caso di specie, l’CO 1, sulla base dell’indicazione fornita da PI 3 il 24 gennaio 2006 – indicazione peraltro ottenuta in modo regolare (cfr. infra cons. 4) – ha correttamente emesso l’avviso di pignoramento impugnato. Questa decisione merita quindi conferma, tanto più che la ricorrente, nella replica, non ha contestato gli indizi prodotti da PI 1 in sede di ricorso a favore della sua tesi secondo cui PI 2 starebbe nascondendo i suoi beni per sottrarsi ai propri impegni,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PI 3 nonché alla dichiarazione dell’avv. __________ di cui al doc. 10; addebiti sui conti della debitrice di importi milionari tra il 2000 e il 2002; ecc. La ricorrente si è infatti limitata ad eccepire l’erroneità del formulario “A” con argomenti non convincenti (cfr. infra cons. 5). Non si può del resto nascondere che il fatto che tutte le società ricorrenti (negli inc. 15.06.38-41) i cui conti sono stati indicati da PI 3 come riconducibili a PI 2 facciano capo allo stesso amministratore potrebbe far sorgere qualche perplessità, segnatamente in merito alla loro asserita indipendenza. 3.3. Visto il tipo di provvedimento conservativo scelto dai giudici dell’exequatur – un “pignoramento provvisorio” –, non risulta peraltro applicabile la giurisprudenza – citata da PI 2 – secondo cui l’ufficio d’esecuzione non può sequestrare beni di terzi il cui nome non è indicato nel decreto di sequestro (DTF 130 III 581 ss., cons. 2.2.1-2.2.3). Al riguardo non pare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nessuno dei provvedimenti di diritto svizzero che entrano in considerazione quali provvedimenti conservativi giusta l’art. 39 CL (sequestro, pignoramento provvisorio, inventario ai sensi dell’art. 162 LEF, misure cautelari del diritto cantonale) può essere adottato senza adattamenti alle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sebbene dovesse ledere il diritto convenzionale o federale. 3.4. La giurisprudenza federale prevede eccezioni a questo principio: le autorità esecutive possono infatti verificare la regolarità formale della decisione del giudice e applicare autonomamente determinate norme della LEF (art. 91 e segg. per rinvio dell’art. 275), e così, in analogia con la prassi in materia di sequestro, potrebbero rifiutare l'esecuzione del decreto qualora, ad esempio, i beni colpiti dal sequestro non appartengono manifestamente al debitore sequestrato o sono impignorabili (cfr. STF 10 novembre 2000 [7B.249/2000], cons. 1; S TF 28 febbraio 2001 [7B.14+15/2001], cons. 3c ). Queste sentenze, per quanto concerne la questione dell’appartenenza dei beni da sequestrare (art. 272 cpv. 1 n. 3 LEF), rinviano però a una giurisprudenza (DTF 118 III 7, cons. 4) da considerare superata con l’introduzione dell’istituto dell’opposizione al decreto di sequestro (del resto non viene più menzionata nell’ultima sentenza relativa all’art. 39 CL, cfr. DTF 131 III 663 ss., cons. 4.2, 4.3 e 4.5): oggi, anche l’eccezione fondata sul fatto che i beni da sequestrare non appartengono al debitore può essere fatta valere unicamente nella procedura di opposizione davanti al giudice del sequestro (cfr. DTF 129 III 206, cons. 2.2). Ciò vale anche per i provvedimenti conservativi ai sensi dell’art. 39 CL (tanto più se se si tratta di un pignoramento provvisorio), dal momento che anche in questo ambito la misura cautelare viene decisa da un giudice, che ne verifica sovranamente i presupposti. 3.5.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3.6.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PI 2 è l’avente diritto economico. 3.7. Riassumendo, l’CO 1, nell’eseguire testualmente l’ordine 31 gennaio 2005 della II Camera civile del Tribunale d’appello, si è comportato correttamente. L’avviso di pignoramento provvisorio (ex art. 39 CL) emanato il 7 marzo 2006 va quindi confermato. La ricorrente è pertanto tenuta a darvi seguito, comunicando se del caso all’Ufficio eventuali altri averi in suo possesso di cui PI 2 è l’avente diritto economico e trasmettendogli i documenti richiesti. 4. La ricorrente non ha contestato i provvedimenti 9 novembre 2005 e 3 gennaio 2006 grazie ai quali l’CO 1 è venuto a conoscenza dell’esistenza del conto corrente n° __________ . A scanso di equivoci, è comunque bene confermare la validità di questi provvedimenti. Infatti, nell’eseguire un pignoramento, l’Ufficio di esecuzione ha l’obbligo di essere attivo e di ricercare eventuali tracce o indizi dell’esistenza di diritti patrimoniali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 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 come nella fattispecie – il debitore non ha potuto essere interrogato. 5. Assodato che l’ordine della seconda Camera civile verte anche sui beni di cui PI 2 è la beneficiaria economica con effetto vincolante per le autorità di esecuzione, occorre ancora determinare se l’escussa può effettivamente essere considerata l’avente diritto economico del conto corrente n° __________ aperto presso PI 3 a nome della ricorrente. 5.1. La ricorrente lo nega, affermando di avere una personalità e una sostanza propria. Per questo motivo, ritiene che il formulario “A” relativo al conto n° __________ sarebbe errato. 5.2. Non vi è unanimità sulla nozione di avente diritto economico (o beneficiario economico) (cfr. Jaques , op. cit., pp. 307 ss.). È comunque indiscutibile che il concetto è stato sviluppato principalmente nell’ambito bancario, anche se è stato poi in qualche modo “esportato” in altri ambiti, compresi quelli civile ed esecutivo (cfr. Jaques , op. cit., p. 313 e 320). In particolare è ora indiscusso che la nozione d’avente diritto economico rinvii al formulario “A” allegato alla Convenzione relativa all’obbligo di diligenza delle banche adottata nel 2003 dall’Associazione Svizzera dei Banchieri (cfr. www.swissbanking. org/1116_i.pdf). È quindi sostenibile pensare che i giudici dell’exequatur avessero in mente proprio gli averi di cui l’escussa risulta avente diritto economico secondo il relativo formulario “A”. D’altronde, la ricorrente non dimostra e nemmeno allega che il formulario sia stato firmato da una persona non abilitata a rappresentare la società. Certo, la sola indicazione sul formulario “A” di un avente diritto economico diverso dal titolare del conto non è sufficiente per fare astrazione, sul piano civile ed esecutivo, delle loro diverse personalità giuridiche e sostanze, in virtù del principio di trasparenza (“Durchgriff”) : è pure necessario che il comportamento dell’avente diritto economico sia abusivo o doloso ai sensi degli art. 2 cpv. 2 CC o 288 LEF (cfr. Jaques , 318 ss. ad 1.4 e 334 ss.). Comunque, come già detto (supra ad cons. 4.2), l’ufficio deve pignorare i beni formalmente intestati a terzi, qualora, anche in base a semplici indizi, sussista il dubbio che l’escusso ne sia proprietario o se la rivendicazione del terzo appaia fondata su un atto revocabile o sia abusiva, ciò che sembra il caso in concreto. La questione verrà poi definitivamente decisa nella procedura di rivendicazione (art. 106 e segg. LEF). In ogni caso, la data di costituzione di RI 1 non è in sé determinante per escludere che l’escussa ne assuma attualmente il controllo, giacché la ricorrente non ha negato che PI 2 fosse azionista né ha dato elementi per ritenere che lo sia diventata prima dell’inizio della lite con PI 1.</w:t>
      </w:r>
    </w:p>
    <w:p>
      <w:r>
        <w:rPr>
          <w:b/>
        </w:rPr>
        <w:t>E. 6</w:t>
      </w:r>
    </w:p>
    <w:p>
      <w:r>
        <w:t>Rimane da esaminare la censura relativa alla domanda d’informazioni complementari rivolta il 7 marzo 2006 a PI 3. Siccome la ricorrente ha addotto contro questo provvedimento lo stesso argomento esposto contro l’avviso di pignoramento di ugual data, ci si può limitare a confermare anche la validità della domanda d’informazioni complementari con riferimento ai motivi esposti ai precedenti considerandi.</w:t>
      </w:r>
    </w:p>
    <w:p>
      <w:r>
        <w:rPr>
          <w:b/>
        </w:rPr>
        <w:t>E. 7</w:t>
      </w:r>
    </w:p>
    <w:p>
      <w:r>
        <w:t>Nella misura in cui è ricevibile, il ricorso va pertanto respinto. Non si preleva la tassa di giustizia e non si assegnano indennità (art. 61 cpv. 2 lett. a e 62 cpv. 2 OTLEF). Richiamati gli art. 17, 20a, 91 LEF, 39 CL, 61 e 62 OTLEF; pronuncia: 1. Nella misura in cui è ricevibile, il ricorso 20 marzo 2006 di RI 1, __________, è respinto. 2. Non si prelevano spese né si assegnano indennità. 3. Intimazione a: – avv. RA 2, __________(con l’allegato di duplica 4 maggio 2006 di PI 2); – St. legale RA 1, __________; – St. legale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