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15.2006.17 vom 6. April 2006</w:t>
      </w:r>
    </w:p>
    <w:p>
      <w:r>
        <w:t>TI Tribunale d'appello, 2006-04-06, IT</w:t>
      </w:r>
    </w:p>
    <w:p>
      <w:r>
        <w:rPr>
          <w:b/>
        </w:rPr>
        <w:t xml:space="preserve">Quelle: </w:t>
      </w:r>
      <w:r>
        <w:t>https://mcp.opencaselaw.ch/entscheid/ti_gerichte_15.2006.17</w:t>
      </w:r>
    </w:p>
    <w:p>
      <w:r>
        <w:t>FR: TI_GERICHTE 15.2006.17 du 6 avril 2006</w:t>
      </w:r>
    </w:p>
    <w:p>
      <w:r>
        <w:t>IT: TI_GERICHTE 15.2006.17 del 6 aprile 2006</w:t>
      </w:r>
    </w:p>
    <w:p>
      <w:pPr>
        <w:pStyle w:val="Heading2"/>
      </w:pPr>
      <w:r>
        <w:t>Regeste</w:t>
      </w:r>
    </w:p>
    <w:p>
      <w:r>
        <w:t>Notifica di precetto esecutivo. Istanza di restituzione del termine ex art. 33 cpv. 4 LEF.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indicazioni della domanda d¿esecuzione;</w:t>
      </w:r>
    </w:p>
    <w:p>
      <w:r>
        <w:rPr>
          <w:b/>
        </w:rPr>
        <w:t>E. 2</w:t>
      </w:r>
    </w:p>
    <w:p>
      <w:r>
        <w:t>l¿ingiunzione di pagare al creditore, entro venti giorni, il credito e le spese d¿esecuzione o, se questa ha per scopo la prestazione di garanzie, di fornirle;</w:t>
      </w:r>
    </w:p>
    <w:p>
      <w:r>
        <w:rPr>
          <w:b/>
        </w:rPr>
        <w:t>E. 3</w:t>
      </w:r>
    </w:p>
    <w:p>
      <w:r>
        <w:t>l¿avvertimento che, ove il debitore intenda contestare il credito in tutto o in parte od il diritto del creditore di procedere per esso in via esecutiva, dovrà dichiararlo all¿ufficio (fare opposizione) entro dieci giorni dalla notificazione del precetto;</w:t>
      </w:r>
    </w:p>
    <w:p>
      <w:r>
        <w:rPr>
          <w:b/>
        </w:rPr>
        <w:t>E. 4</w:t>
      </w:r>
    </w:p>
    <w:p>
      <w:r>
        <w:t>Nel caso concreto, la convivente dell¿escusso ha chiaramente commesso una colpa nell¿omettere di comunicare all¿escusso la ricezione del precetto esecutivo e d¿interporre opposizione. Per i suddetti motivi, tale colpa va imputata al ricorrente. Non si giustifica pertanto la restituzione del termine di opposizione.</w:t>
      </w:r>
    </w:p>
    <w:p>
      <w:r>
        <w:rPr>
          <w:b/>
        </w:rPr>
        <w:t>E. 5</w:t>
      </w:r>
    </w:p>
    <w:p>
      <w:r>
        <w:t>L¿istanza 23 gennaio 2006 di restituzione del termine ex art. 33 cpv. 4 LEF per interporre opposizione di RI 1 dev¿essere così respinta. Non si preleva la tassa di giustizia e non si assegnano indennità (art. 61 cpv. 2 lett. a, e 62 cpv. 2 OTLEF). richiamati gli art. 33 cpv. 1 e 4, 64, 69, 74 cpv. 1, 75 cpv. 1; 61 e 62 OTLEF, pronuncia: 1. L¿istanza 23 gennaio 2006 di RI 1 __________, è respinta.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d¿appello, in conformità dell¿art. 19 LEF. 4. Intimazione: - RI 1, __________; - RA 1, __________. Comunicazione all¿CO 1. Per la Camera di esecuzione e fallimenti del Tribunale d¿appello quale autorità di vigilanza Il presidente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