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15.2005.92 vom 28. September 2005</w:t>
      </w:r>
    </w:p>
    <w:p>
      <w:r>
        <w:t>TI Tribunale d'appello, 2005-09-28, IT</w:t>
      </w:r>
    </w:p>
    <w:p>
      <w:r>
        <w:rPr>
          <w:b/>
        </w:rPr>
        <w:t xml:space="preserve">Quelle: </w:t>
      </w:r>
      <w:r>
        <w:t>https://mcp.opencaselaw.ch/entscheid/ti_gerichte_15.2005.92</w:t>
      </w:r>
    </w:p>
    <w:p>
      <w:r>
        <w:t>FR: TI_GERICHTE 15.2005.92 du 28 septembre 2005</w:t>
      </w:r>
    </w:p>
    <w:p>
      <w:r>
        <w:t>IT: TI_GERICHTE 15.2005.92 del 28 settembre 2005</w:t>
      </w:r>
    </w:p>
    <w:p>
      <w:pPr>
        <w:pStyle w:val="Heading2"/>
      </w:pPr>
      <w:r>
        <w:t>Regeste</w:t>
      </w:r>
    </w:p>
    <w:p>
      <w:r>
        <w:t>Comminatoria di fallimento. Notifica alla segretaria personale di un membro del consiglio di amministrazione della società escussa con firma collettiva.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tempestività del ricorso è dubbia, siccome la ricorrente non ha sostenuto né dimostrato come e quando è venuta a conoscenza dei provvedimenti impugnati. La questione può però rimanere indecisa poiché il ricorso è comunque manifestamente infondato.</w:t>
      </w:r>
    </w:p>
    <w:p>
      <w:r>
        <w:rPr>
          <w:b/>
        </w:rPr>
        <w:t>E. 2</w:t>
      </w:r>
    </w:p>
    <w:p>
      <w:r>
        <w:t>Se l’esecuzione è diretta contro una società, la notificazione degli atti esecutivi si fa a qualunque membro dell’amministrazione o della direzione, come pure a qualunque direttore o procuratore (art. 65 cpv. 1 n. 2 LEF), indipendentemente dal diritto di firma: è pertanto valida la notifica a un rappresentante della società, sebbene sia abilitato a firmare solo collettivamente con un’altro rappresentante (cfr. DTF 65 III 73 s.; Angst , Basler Kommentar zum SchKG, vol. I, Basilea/Ginevra/ Monaco 1998, n. 6 ad art. 65; Gilliéron , Commentaire de la LP, vol. I, Losanna 1999, n. 43 ad art. 65 ). Ciò vale per la notifica sia dei precetti esecutivi (art. 72 cpv. 1 LEF) che delle comminatorie di fallimento (art. 161 cpv. 1 LEF). In concreto, la notifica degli atti impugnati avrebbe pertanto potuto avvenire nelle mani di PI 8 se fosse stato presente al momento dell’intimazione – ciò che però non è stato allegato –, poiché egli è iscritto a registro di commercio quale membro del consiglio di amministrazione dell’escussa con firma collettiva a due (cfr. doc. B).</w:t>
      </w:r>
    </w:p>
    <w:p>
      <w:r>
        <w:rPr>
          <w:b/>
        </w:rPr>
        <w:t>E. 3</w:t>
      </w:r>
    </w:p>
    <w:p>
      <w:r>
        <w:t>Gli atti esecutivi devono di regola essere notificati presso gli uffici della società escussa. Qualora le persone menzionate all’art. 65 cpv. 1 LEF non si trovino in ufficio, la notifica può anche essere effettuata al domicilio del rappresentante della società o nel luogo in cui suole esercitare la sua attività nelle mani di persona adulta della sua famiglia o a un suo impiegato (cfr. art. 64 cpv. 1 LEF; DTF 72 III 71 ss.; Angst , op. cit., n. 9 ad art. 65; Gilliéron , op. cit., n. 45 s. ad art. 65). Nel caso concreto, secondo le stesse affermazioni della ricorrente, le notifiche contestate sono avvenute alla sede della società escussa (__________) nelle mani di __________, segretaria alle dipendenze del membro del consiglio di amministrazione PI 8. Esse sono pertanto valide ai sensi dell’art. 65 cpv. 1 LEF. Non risulta pertanto necessario verificare se __________ era – o è tuttora – anche alle dipendenze dell’escussa, come sarebbe legittimo pensare, siccome appare poco verosimile che ella abbia continuato a lavorare per la ditta individuale di PI 8 dopo il suo fallimento, dichiarato già il 16 marzo 2005.</w:t>
      </w:r>
    </w:p>
    <w:p>
      <w:r>
        <w:rPr>
          <w:b/>
        </w:rPr>
        <w:t>E. 4</w:t>
      </w:r>
    </w:p>
    <w:p>
      <w:r>
        <w:t>Intimazione a: – avv. RA 1, __________; – PI 1, __________; – PI 2, __________; – PI 3, __________; – RA 2, __________; – PI 5, __________; – RA 3, __________; –RA 4, __________. Comunicazione all’CO 1.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