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15.2005.86 vom 14. September 2005</w:t>
      </w:r>
    </w:p>
    <w:p>
      <w:r>
        <w:t>TI Tribunale d'appello, 2005-09-14, IT</w:t>
      </w:r>
    </w:p>
    <w:p>
      <w:r>
        <w:rPr>
          <w:b/>
        </w:rPr>
        <w:t xml:space="preserve">Quelle: </w:t>
      </w:r>
      <w:r>
        <w:t>https://mcp.opencaselaw.ch/entscheid/ti_gerichte_15.2005.86</w:t>
      </w:r>
    </w:p>
    <w:p>
      <w:r>
        <w:t>FR: TI_GERICHTE 15.2005.86 du 14 septembre 2005</w:t>
      </w:r>
    </w:p>
    <w:p>
      <w:r>
        <w:t>IT: TI_GERICHTE 15.2005.86 del 14 settembre 2005</w:t>
      </w:r>
    </w:p>
    <w:p>
      <w:pPr>
        <w:pStyle w:val="Heading2"/>
      </w:pPr>
      <w:r>
        <w:t>Regeste</w:t>
      </w:r>
    </w:p>
    <w:p>
      <w:r>
        <w:t>pignoramento di redditi. Minimo di esistenza. Competenza territoriale nei casi in cui il datore di lavoro del debitore ha la sede fuori dal circondario dell'ufficio che dirige l'esecuzione. Accertamenti insufficienti</w:t>
      </w:r>
    </w:p>
    <w:p>
      <w:pPr>
        <w:pStyle w:val="Heading2"/>
      </w:pPr>
      <w:r>
        <w:t>Erwägungen</w:t>
      </w:r>
    </w:p>
    <w:p>
      <w:r>
        <w:rPr>
          <w:b/>
        </w:rPr>
        <w:t>E. 1</w:t>
      </w:r>
    </w:p>
    <w:p>
      <w:r>
        <w:t>era pertanto competente per pignorare il salario dell’escusso. Dalla rogatoria del 17 maggio 2005, si evince del resto che l’ufficio non ha chiesto al suo omologo grigionese di pignorare i redditi dell’escusso, ma unicamente di accertarli e di fissare il minimo di esistenza. Questa Camera è pertanto competente per determinarsi sia sull’emissione dell’attestato di carenza di beni sia sulla questione pregiudiziale dell’accertamento del minimo di esistenza.</w:t>
      </w:r>
    </w:p>
    <w:p>
      <w:r>
        <w:rPr>
          <w:b/>
        </w:rPr>
        <w:t>E. 1.1</w:t>
      </w:r>
    </w:p>
    <w:p>
      <w:r>
        <w:t>Di conseguenza, l’attestato di carenza di beni emesso il 23 giugno 2005 nell’esecuzione n° __________ è annullato.</w:t>
      </w:r>
    </w:p>
    <w:p>
      <w:r>
        <w:rPr>
          <w:b/>
        </w:rPr>
        <w:t>E. 1.2</w:t>
      </w:r>
    </w:p>
    <w:p>
      <w:r>
        <w:t>L’incarto è rinviato all’CO 1 affinché proceda a ricalcolare il minimo di esistenza tenendo conto delle indicazioni di cui al considerando 2.1. 2. Non si prelevano spese né si assegnano indennità.</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w:t>
      </w:r>
    </w:p>
    <w:p>
      <w:r>
        <w:rPr>
          <w:b/>
        </w:rPr>
        <w:t>E. 2.1</w:t>
      </w:r>
    </w:p>
    <w:p>
      <w:r>
        <w:t>Nel caso di specie gli accertamenti dell’ufficio appaiono insufficienti o almeno insufficientemente documentati. a) L’Ufficio esecuzione di __________, nel determinare il minimo di base in fr. 775.--, sembra aver implicitamente considerato che l’escusso viva in concubinato con un’altra persona senza figli comuni (cfr. DTF 130 III 765 ss), poiché ha dimezzato sia l’importo di base di fr. 1'550.-- ammesso per i debitori coniugati sia le spese di locazione dell’appartamento di __________ (con il rilievo che l’escusso ha firmato il contratto di locazione solidalmente con tale __________); tuttavia tale circostanza non è indicata nel verbale di pignoramento né risulta confermata dall’escusso, il cui interrogatorio non pare essere stato verbalizzato. Non è poi dato di sapere se l’__________ ha fondato o no la decisione impugnata sulla stessa cifra. b) Tra gli allegati al verbale grigionese non figura la sentenza di divorzio in base alla quale l’escusso è tenuto a versare alimenti per fr. 550.-- al mese. Non è pertanto possibile determinare l’estensione e le modalità (in particolare con riferimento al luogo in cui può essere esercitato) del suo probabile diritto di visita sul figlio undicenne. Di conseguenza mancano gli elementi per poter stabilire se le spese riferite all’appartamento di __________ e le relative spese di trasferta sono o no ammissibili. c) Anche la posta “uscita figlio” non è né motivata né documentata.</w:t>
      </w:r>
    </w:p>
    <w:p>
      <w:r>
        <w:rPr>
          <w:b/>
        </w:rPr>
        <w:t>E. 2.2</w:t>
      </w:r>
    </w:p>
    <w:p>
      <w:r>
        <w:t>In queste condizioni, l’attestato di carenza di beni emesso il 23 giugno 2005 va annullato e l’incarto è rinviato all’CO 1 affinché proceda a ricalcolare il minimo di esistenza tenendo conto delle indicazioni di cui al considerando 2.1.</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avv. RA 1,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