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15.2005.55 vom 14. Juli 2005</w:t>
      </w:r>
    </w:p>
    <w:p>
      <w:r>
        <w:t>TI Tribunale d'appello, 2005-07-14, IT</w:t>
      </w:r>
    </w:p>
    <w:p>
      <w:r>
        <w:rPr>
          <w:b/>
        </w:rPr>
        <w:t xml:space="preserve">Quelle: </w:t>
      </w:r>
      <w:r>
        <w:t>https://mcp.opencaselaw.ch/entscheid/ti_gerichte_15.2005.55</w:t>
      </w:r>
    </w:p>
    <w:p>
      <w:r>
        <w:t>FR: TI_GERICHTE 15.2005.55 du 14 juillet 2005</w:t>
      </w:r>
    </w:p>
    <w:p>
      <w:r>
        <w:t>IT: TI_GERICHTE 15.2005.55 del 14 luglio 2005</w:t>
      </w:r>
    </w:p>
    <w:p>
      <w:pPr>
        <w:pStyle w:val="Heading2"/>
      </w:pPr>
      <w:r>
        <w:t>Regeste</w:t>
      </w:r>
    </w:p>
    <w:p>
      <w:r>
        <w:t>fallimento. Onorari dell'amminsitrazione speciale e della delegazione dei creditori. Spese per consulenti giuridici. IVA</w:t>
      </w:r>
    </w:p>
    <w:p>
      <w:pPr>
        <w:pStyle w:val="Heading2"/>
      </w:pPr>
      <w:r>
        <w:t>Erwägungen</w:t>
      </w:r>
    </w:p>
    <w:p>
      <w:r>
        <w:rPr>
          <w:b/>
        </w:rPr>
        <w:t>E. 1</w:t>
      </w:r>
    </w:p>
    <w:p>
      <w:r>
        <w:t>Giusta l’art. 84 RUF, applicabile alle amministrazioni speciali per il rinvio dell’art. 97 RUF, o ve l'amministrazione del fallimento (eventualmente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L'autorità di vigilanza fissa l'indennità da corrispondere. Il suo giudizio – che non è preceduto da alcun provvedimento autonomo degli organi d'esecuzione forzata, i quali si devono limitare all'invio di una proposta di tassazione (cfr. Cometta , Commentario alla LPR, Lugano 1998, n. 3.2.4.4 ad art. 1, nota 78, p. 43) – è impugnabile al Tribunale federale con il ricorso dell'art. 19 LEF (art. 2 seconda proposizione OTLEF).</w:t>
      </w:r>
    </w:p>
    <w:p>
      <w:r>
        <w:rPr>
          <w:b/>
        </w:rPr>
        <w:t>E. 2</w:t>
      </w:r>
    </w:p>
    <w:p>
      <w:r>
        <w:t>L’art. 47 OTLEF disciplina la rimunerazione straordinaria dovuta nelle procedure complesse, in deroga alla tariffa ordinaria di cui agli art. 44 a 46 OTLEF.</w:t>
      </w:r>
    </w:p>
    <w:p>
      <w:r>
        <w:rPr>
          <w:b/>
        </w:rPr>
        <w:t>E. 2.1</w:t>
      </w:r>
    </w:p>
    <w:p>
      <w:r>
        <w:t>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w:t>
      </w:r>
    </w:p>
    <w:p>
      <w:r>
        <w:rPr>
          <w:b/>
        </w:rPr>
        <w:t>E. 2.2</w:t>
      </w:r>
    </w:p>
    <w:p>
      <w:r>
        <w:t>Con “tempo impiegato” si intende quello dovuto ragionevolmente,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(cfr. DTF 120 III 100, cons. 2 i.f.). La suddivisione in categorie di attività e la relativa determinazione della tariffa oraria rientra nel potere di apprezzamento dell’autorità cantonale di vigilanza (cfr. DTF 130 III 617 ss., cons. 3.3 e 4.1). Questa Camera distingue tra prestazioni di complessità accresciuta (con una gradazione dipendente dal tipo di formazione), mansioni contabili e lavori di segretariato (cfr. per tutte CEF 29 aprile 2004 [15.2000.44], cons. 4e e 4f; Cometta , op. cit., n. 3.2.4.4.c ad art. 1, p. 44 s.).</w:t>
      </w:r>
    </w:p>
    <w:p>
      <w:r>
        <w:rPr>
          <w:b/>
        </w:rPr>
        <w:t>E. 2.3</w:t>
      </w:r>
    </w:p>
    <w:p>
      <w:r>
        <w:t>L’autorità di vigilanza gode di un ampio potere di apprezzamento per determinare se si giustifica l’applicazione dell’art. 47 OTLEF nonché l’importo della rimunerazione. Deve tuttavia tenere conto del carattere sociale della normativa della OTLEF che vieta che siano poste a carico della massa in modo illimitato spese elevate (DTF 130 III 615 s., cons. 1.2 e 3.1; 130 III 180, cons. 1.2; 120 III 100, cons. 2; 114 III 41, cons. 2; 108 III 67 cons. 2).</w:t>
      </w:r>
    </w:p>
    <w:p>
      <w:r>
        <w:rPr>
          <w:b/>
        </w:rPr>
        <w:t>E. 3</w:t>
      </w:r>
    </w:p>
    <w:p>
      <w:r>
        <w:t>Nel caso concreto, la procedura può essere qualificata come complessa ai sensi dell’art. 47 OTLEF, in considerazione dell’elevato numero dei crediti insinuati (quasi 150), tra cui 59 collocati in prima classe, la cui verifica ha parecchio impegnato l’amministrazione speciale. Va anche menzionato l’operato dell’amministrazione in relazione con l’insinuazione del credito della fallita contro la società “sorella” italiana __________, la rivendicazione di tutti i crediti della fallita formulata dalla __________ e il fallimento della ditta __________ di __________ (che risultava debitrice della fallita per fr. 441'754.--).</w:t>
      </w:r>
    </w:p>
    <w:p>
      <w:r>
        <w:rPr>
          <w:b/>
        </w:rPr>
        <w:t>E. 3.1</w:t>
      </w:r>
    </w:p>
    <w:p>
      <w:r>
        <w:t>Dai dati forniti dagli amministratori speciali risulta che l’impegno complessivo è stato di un po’ più di 400 ore su un periodo che si estende dal 31 gennaio 2000 e il 7 aprile 2005.</w:t>
      </w:r>
    </w:p>
    <w:p>
      <w:r>
        <w:rPr>
          <w:b/>
        </w:rPr>
        <w:t>E. 3.2</w:t>
      </w:r>
    </w:p>
    <w:p>
      <w:r>
        <w:t>Le tariffe orarie esposte dagli amministratori (fr. 130.--/ora per gli amministratori, fr. 90.--/ora per i collaboratori, fr. 70.--/ora per le ore di segretariato e fr. 20.-- per le ore dell’apprendista) sono conformi a quelle ammesse dalla giurisprudenza cantonale, se non per quanto attiene alle ore di segretariato, che vanno rimunerate alla tariffa oraria di fr. 50.--, così come d’altronde esposto nell’ultima fattura di F__________ del 28 dicembre 2004. Non si giustifica nemmeno l’aumento a fr. 140.--/ora della tariffa per le prestazioni dell’amministratore IS 1 esposta nell’ultima fattura, anche per il fatto che tale modifica non risulta essere stata sottoposta ai creditori. La rimunerazione di F__________ va pertanto ridotta di fr. 1'145.-- (31,75 x 20.-- + 51 x 10.--).</w:t>
      </w:r>
    </w:p>
    <w:p>
      <w:r>
        <w:rPr>
          <w:b/>
        </w:rPr>
        <w:t>E. 3.3</w:t>
      </w:r>
    </w:p>
    <w:p>
      <w:r>
        <w:t>Globalmente, le ore lavorative indicate dall’amministrazione fallimentare speciale e la loro ripartizione tra le diverse categorie tariffarie appaiono congrui, avuto riguardo alle circostanze concrete della procedura. Vi sono sì alcuni lavori apparentemente fatturati secondo una tariffa troppo elevata (ad es. “fotocopia delle pubblicazioni + invio” del 5.11.2001; “ aiutato AB ad imbustare” del 13.5.2002; “prep. liste raccomandate + in posta” del 23.5.2003”), ma riguardano importi che non eccedono ciò a cui F__________ ha rinunciato (ossia fr. 3'656,10), anche tenuto conto della riduzione di fr. 1'145.-- di cui al precedente considerando e del riconoscimento solo parziale delle deduzioni dell’IVA (cfr. infra cons. 3.4). Per il resto, il rapporto costi/benefici è globalmente sostenibile, siccome l’importo complessivo degli onorari dell’amministrazione (fr. 41'835,45) rappresenta il 6,1% del ricavato (pari a fr. 684'792,20 secondo la tabella allegata allo scritto 11 luglio 2005 di F__________).</w:t>
      </w:r>
    </w:p>
    <w:p>
      <w:r>
        <w:rPr>
          <w:b/>
        </w:rPr>
        <w:t>E. 3.4</w:t>
      </w:r>
    </w:p>
    <w:p>
      <w:r>
        <w:t>Giusta l’art. 23 cpv. 1 LIVA, gli organi dell’esecuzione forzata non sono assoggettati all’imposta sul valore aggiunto (IVA) per le prestazioni effettuate nell’esercizio della loro sovranità (cfr. BlSchK 2001, p. 28 ss.). Pertanto, non possono venire riconosciuti gli importi fatturati a questo titolo per i periodi successivi al 1° gennaio 2001 (data dell’entrata in vigore della LIVA e del promemoria n° 2 “Uffici di esecuzione e fallimenti” dell’Amministrazione federale delle contribuzioni), pari a fr. 160,25 per l’avv. IS 2 e fr. 1'770,85 (fr. 2'804.-- ./. 503,13 [fattura n° 29 del 1° aprile 2000] ./. 530,04 [fattura n° __________ del 31.12.2000] ) per F__________ Siffatte deduzioni non hanno però conseguenze concrete nel caso di specie, siccome sono da considerare incluse negli importi ai quali hanno rinunciato gli amministratori speciali.</w:t>
      </w:r>
    </w:p>
    <w:p>
      <w:r>
        <w:rPr>
          <w:b/>
        </w:rPr>
        <w:t>E. 4</w:t>
      </w:r>
    </w:p>
    <w:p>
      <w:r>
        <w:t>Secondo l’art. 46 cpv. 3 OTLEF, l’indennità per mezz’ora di seduta è di fr. 60.-- per il presidente della delegazione dei creditori e il segretario, e di fr. 50.-- per gli altri membri; le operazioni all’infuori di una seduta sono rimunerate fr. 50.--/½ ora (art. 46 cpv. 4 OTLEF). In virtù dell’art. 47 cpv. 2 OTLEF, la tariffa può essere aumentata dall’autorità di vigilanza nelle procedure complesse. Nel caso concreto, i membri della delegazione dei creditori sono stati rimunerati secondo una tariffa superiore a quella prevista dall’art. 46 OTLEF (fr. 150.--/ora, rispettivamente fr. 130.--/ora). Visto il carattere complesso riconosciuto alla procedura fallimentare in esame (cfr. supra cons. 3), la tariffa adottata, peraltro conforme a quella riconosciuta da questa Camera, risulta ammissibile. Il dispendio orario appare congruo all’elevato numero di insinuazioni da verificare e all’esame della questione delle cessioni dei diritti della massa. La rimunerazione della delegazione dei creditori va pertanto determinata così come al dettaglio allegato allo stato di ripartizione del 22 maggio 2003 (cfr. supra ad D).</w:t>
      </w:r>
    </w:p>
    <w:p>
      <w:r>
        <w:rPr>
          <w:b/>
        </w:rPr>
        <w:t>E. 5</w:t>
      </w:r>
    </w:p>
    <w:p>
      <w:r>
        <w:t>Intimazione a:      – avv. IS 2, __________; – F__________, __________. Comunicazione all’Ufficio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