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15.2005.2 vom 19. Januar 2005</w:t>
      </w:r>
    </w:p>
    <w:p>
      <w:r>
        <w:t>TI Tribunale d'appello, 2005-01-19, IT</w:t>
      </w:r>
    </w:p>
    <w:p>
      <w:r>
        <w:rPr>
          <w:b/>
        </w:rPr>
        <w:t xml:space="preserve">Quelle: </w:t>
      </w:r>
      <w:r>
        <w:t>https://mcp.opencaselaw.ch/entscheid/ti_gerichte_15.2005.2</w:t>
      </w:r>
    </w:p>
    <w:p>
      <w:r>
        <w:t>FR: TI_GERICHTE 15.2005.2 du 19 janvier 2005</w:t>
      </w:r>
    </w:p>
    <w:p>
      <w:r>
        <w:t>IT: TI_GERICHTE 15.2005.2 del 19 gennaio 2005</w:t>
      </w:r>
    </w:p>
    <w:p>
      <w:pPr>
        <w:pStyle w:val="Heading2"/>
      </w:pPr>
      <w:r>
        <w:t>Regeste</w:t>
      </w:r>
    </w:p>
    <w:p>
      <w:r>
        <w:t>contestazione stato di ripartizione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19.01.2005 15.2005.2</w:t>
      </w:r>
    </w:p>
    <w:p>
      <w:r>
        <w:t>contestazione stato di ripartizione</w:t>
      </w:r>
    </w:p>
    <w:p>
      <w:r>
        <w:t>Incarto n. 15.2005.2 Lugano 19 gennaio 2005 /PF/sc/fb In nome della Repubblica e Cantone del Ticino La Camera di esecuzione e fallimenti del Tribunale d'appello quale autorità di vigilanza composta dei giudici: Chiesa, presidente, Pellegrini e Walser segretario: Piccirilli statuendo sul ricorso 11 marzo 2004 (trasmesso alla Camera il 10 gennaio 2005) dell’ RI 1 rappr. daRA 1 patrocinato da PA 1 contro l’operato dell’ CO 1 nell’esecuzione n. __________ promossa dal ricorrente nei confronti della PI 1 rappr. da PA 2 procedura concernente anche PI 2 PI 3 rappr. da RA 2 viste le osservazioni: 23 novembre 2004 di Mauro e Olindo PI 2; 4 gennaio 2005 dell’CO 1; esaminati atti e documenti; ritenuto in fatto e considerato in diritto: che lRI 1 procede nei confronti della PI 1 per l’incasso del proprio credito; che, non avendo l’erede unica PA 2 interposto opposizione al precetto esecutivo n. 63752 dell’CO 1, il creditore formulava il 7 giugno 2000 domanda di proseguimento dell’esecuzione; che non avendo avuto più notizie circa l’avanzamento della pratica, l’RI 1, a partire dal mese di ottobre 2001, interpellava più volte l’CO 1, ottenendo sempre rassicurazioni sul corretto svolgimento della procedura (cfr. doc. E, F, G e H); che dopo un ulteriore sollecito scritto (cfr. doc I), l’CO 1 il 1°marzo 2004 notificava ai creditori lo stato di riparto nelle esecuzioni di cui al gruppo n. 6/2000, comunicando nel contempo che per i creditori pignoranti successivi, tra cui anche l’RI 1, non vi sarebbe stato alcun dividendo (cfr. doc. L); che con ricorso 11 marzo 2004, trasmesso a questa Camera solo il 10 gennaio 2005, l’RI 1 si aggrava contro lo stato di riparto postulandone l’annullamento; che il ricorrente sostiene di dover partecipare al riparto, essendo la propria domanda di continuazione dell’esecuzione stata formulata già il 7 giugno 2000; che delle osservazioni di e PI 2, nonché di quelle dell’CO 1 si dirà, se del caso, in seguito; che per l’art. 110 cpv. 1 LEF i creditori che presentano domanda di continuazione dell’esecuzione entro trenta giorni dall’esecuzione di un pignoramento partecipano a questo; che i creditori che presentano la domanda di continuazione dell’esecuzione solo dopo lo scadere del termine di trenta giorni formano nello stesso modo ulteriori gruppi con pignoramento separato (art. 110 cpv. 2 LEF); che l’ammissione di ulteriori creditori malgrado la scadenza del termine di partecipazione di trenta giorni non è nulla, ma unicamente annullabile mediante ricorso (cfr. Ingrid Jent – Sörensen, Basler Kommentar zum SchKG, Basilea/Ginevra /Monaco, 1998, n. 11 ad art. 110; DTF 73 III 137); che giusta l’art. 144 cpv. 1 LEF la ripartizione ha luogo dopo la realizzazione di tutti i beni colpiti da un medesimo pignoramento; che nel caso in esame l’CO 1 ha allestito lo stato di riparto impugnato sulla base del verbale di pignoramento 21 marzo 2000, cresciuto in giudicato senza contestazioni; che la domanda di proseguimento del ricorrente è datata 7 giugno 2000 e di conseguenza esso non aveva ha diritto di partecipare a tale ripartizione; che quindi lo stato di riparto 1° marzo 2004, ancorché allestito sulla base di un verbale di pignoramento che contempla esecuzioni dall’ottobre 1996 all’agosto 1999, risulta essere corretto in relazione alla posizione del ricorrente e comunque non è stato impugnato; che da ultimo va rilevato che, come indicato dall’CO 1 nelle proprie osservazioni, in data 30 maggio 2003 è stato allestito un nuovo verbale di pignoramento comprendente i fondi part. __________ part. __________ part. __________, part__________, part__________ RFD di __________ e il fondo part. __________ RFD di __________ e di conseguenza l’esecuzione promossa dal ricorrente potrà essere verosimilmente saldata con il provento della realizzazione di tali beni; che il ricorso va pertanto respinto; che non si preleva la tassa di giustizia e non si assegnano indennità (art. 61 cpv. 2 lett. a, e 62 cpv. 2 OTLEF). Richiamati gli art. 17, 20 a , 110, 144 LEF; 61, 62 OTLEF; pronuncia: 1. Il ricorso 11 marzo 2004 dell’RI 1,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– avv. PA 1, PA 2 ,; – avv. RA 2, Comunicazione all’CO 1,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