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15.2005.104 vom 16. November 2005</w:t>
      </w:r>
    </w:p>
    <w:p>
      <w:r>
        <w:t>TI Tribunale d'appello, 2005-11-16, IT</w:t>
      </w:r>
    </w:p>
    <w:p>
      <w:r>
        <w:rPr>
          <w:b/>
        </w:rPr>
        <w:t xml:space="preserve">Quelle: </w:t>
      </w:r>
      <w:r>
        <w:t>https://mcp.opencaselaw.ch/entscheid/ti_gerichte_15.2005.104</w:t>
      </w:r>
    </w:p>
    <w:p>
      <w:r>
        <w:t>FR: TI_GERICHTE 15.2005.104 du 16 novembre 2005</w:t>
      </w:r>
    </w:p>
    <w:p>
      <w:r>
        <w:t>IT: TI_GERICHTE 15.2005.104 del 16 novembre 2005</w:t>
      </w:r>
    </w:p>
    <w:p>
      <w:pPr>
        <w:pStyle w:val="Heading2"/>
      </w:pPr>
      <w:r>
        <w:t>Regeste</w:t>
      </w:r>
    </w:p>
    <w:p>
      <w:r>
        <w:t>Informazioni sui dati esecutivi. Interesse preesistente all'avvio di una causa giudiziaria.</w:t>
      </w:r>
    </w:p>
    <w:p>
      <w:pPr>
        <w:pStyle w:val="Heading2"/>
      </w:pPr>
      <w:r>
        <w:t>Erwägungen</w:t>
      </w:r>
    </w:p>
    <w:p>
      <w:r>
        <w:rPr>
          <w:b/>
        </w:rPr>
        <w:t>E. 1</w:t>
      </w:r>
    </w:p>
    <w:p>
      <w:r>
        <w:t>Giusta l’art. 8a cpv. 1 LEF, chiunque renda verosimile un interesse può consultare i verbali e i registri degli uffici d’esecuzione e degli uffici dei fallimenti nonché chiederne estratti.</w:t>
      </w:r>
    </w:p>
    <w:p>
      <w:r>
        <w:rPr>
          <w:b/>
        </w:rPr>
        <w:t>E. 1.1</w:t>
      </w:r>
    </w:p>
    <w:p>
      <w:r>
        <w:t>Di conseguenza è fatto ordine all’CO 1 di dar seguito alla richiesta 7 settembre 2005 RA 1 concernente l’estratto delle esecuzioni pendenti contro PI 1.</w:t>
      </w:r>
    </w:p>
    <w:p>
      <w:r>
        <w:rPr>
          <w:b/>
        </w:rPr>
        <w:t>E. 1.2</w:t>
      </w:r>
    </w:p>
    <w:p>
      <w:r>
        <w:t>Ma –come afferma il ricorrente- anche un interesse preesistente all’avvio di una causa giudiziaria dev’essere considerato sufficiente a giustificare una domanda d’informazione, siccome la promozione di un’azione può dar luogo a una pretesa relativa alla rifusione di spese e di ripetibili ( Peter, in Basler Kommentar zum SchKG, vol. I, Basilea/Ginevra/Monaco 1998, N. 9 ad art. 8a). D’altra parte, l’assunto è sostenibile, in particolare, qualora lo si confronti con la prassi in materia contrattuale che consente il rilascio di informazioni ancora prima che nasca un credito, purché il richiedente renda verosimile l’esistenza di trattative per la conclusione di un contratto (art. 8a cpv. 2 LEF). Comunque, il Tribunale federale aveva riconosciuto un diritto all’informazione prima dell’avvio di un processo già in una sentenza del 1926 (DTF 52 III 79, cons. 2).</w:t>
      </w:r>
    </w:p>
    <w:p>
      <w:r>
        <w:rPr>
          <w:b/>
        </w:rPr>
        <w:t>E. 2</w:t>
      </w:r>
    </w:p>
    <w:p>
      <w:r>
        <w:t>Non si prelevano spese né si assegnano indennità.</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RA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