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15.2004.40 vom 17. Juni 2004</w:t>
      </w:r>
    </w:p>
    <w:p>
      <w:r>
        <w:t>TI Tribunale d'appello, 2004-06-17, IT</w:t>
      </w:r>
    </w:p>
    <w:p>
      <w:r>
        <w:rPr>
          <w:b/>
        </w:rPr>
        <w:t xml:space="preserve">Quelle: </w:t>
      </w:r>
      <w:r>
        <w:t>https://mcp.opencaselaw.ch/entscheid/ti_gerichte_15.2004.40</w:t>
      </w:r>
    </w:p>
    <w:p>
      <w:r>
        <w:t>FR: TI_GERICHTE 15.2004.40 du 17 juin 2004</w:t>
      </w:r>
    </w:p>
    <w:p>
      <w:r>
        <w:t>IT: TI_GERICHTE 15.2004.40 del 17 giugno 2004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L’istanza «Data_istanza» di «Ufficio», tendente alla protrazione del termine ex art. 270 cpv. 1 LEF per la liquidazione fallimentare «nome_liquidazione», è accolta.</w:t>
      </w:r>
    </w:p>
    <w:p>
      <w:r>
        <w:rPr>
          <w:b/>
        </w:rPr>
        <w:t>E. 1.1</w:t>
      </w:r>
    </w:p>
    <w:p>
      <w:r>
        <w:t>Il termine di cui all’art. 270 cvp. 1 LEF è prorogato di «N_mesi» («Lettere_mesi») mese/i per l'evasione delle incombenze di cui ai considerandi.</w:t>
      </w:r>
    </w:p>
    <w:p>
      <w:r>
        <w:rPr>
          <w:b/>
        </w:rPr>
        <w:t>E. 2</w:t>
      </w:r>
    </w:p>
    <w:p>
      <w:r>
        <w:t>Intimazione a:   - «Ufficio»; - Ispettorato di esecuzione e fallimenti, Lugano. Per la Camera di esecuzione e fallimenti del Tribunale d’appello 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