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15.2004.36 vom 25. Mai 2004</w:t>
      </w:r>
    </w:p>
    <w:p>
      <w:r>
        <w:t>TI Tribunale d'appello, 2004-05-25, IT</w:t>
      </w:r>
    </w:p>
    <w:p>
      <w:r>
        <w:rPr>
          <w:b/>
        </w:rPr>
        <w:t xml:space="preserve">Quelle: </w:t>
      </w:r>
      <w:r>
        <w:t>https://mcp.opencaselaw.ch/entscheid/ti_gerichte_15.2004.36</w:t>
      </w:r>
    </w:p>
    <w:p>
      <w:r>
        <w:t>FR: TI_GERICHTE 15.2004.36 du 25 mai 2004</w:t>
      </w:r>
    </w:p>
    <w:p>
      <w:r>
        <w:t>IT: TI_GERICHTE 15.2004.36 del 25 maggio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26 febbraio 2004 di RI1, Lugano, è parzialmente accolto.</w:t>
      </w:r>
    </w:p>
    <w:p>
      <w:r>
        <w:rPr>
          <w:b/>
        </w:rPr>
        <w:t>E. 1.1</w:t>
      </w:r>
    </w:p>
    <w:p>
      <w:r>
        <w:t>Di conseguenza, è ordinata all'CO1 la verifica del verbale d'inventario dell'11-19 giugno 2002/27 febbraio 2004 e la successiva nuova pubblicazione dell'asta.</w:t>
      </w:r>
    </w:p>
    <w:p>
      <w:r>
        <w:rPr>
          <w:b/>
        </w:rPr>
        <w:t>E. 1.2</w:t>
      </w:r>
    </w:p>
    <w:p>
      <w:r>
        <w:t>L'CO1 procederà a notificare all'assicuratore il danno al mobilio delle camere n. 1-4 del 1° piano (parte della posizione n. 66 dell'inventario) e ad incassare l'eventuale e relativa prestazione assicurativa.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– __________ __________ RA1, __________; – __________ __________ RA2, __________ Comunicazione all’CO1.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