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15.2004.172 vom 26. Oktober 2004</w:t>
      </w:r>
    </w:p>
    <w:p>
      <w:r>
        <w:t>TI Tribunale d'appello, 2004-10-26, IT</w:t>
      </w:r>
    </w:p>
    <w:p>
      <w:r>
        <w:rPr>
          <w:b/>
        </w:rPr>
        <w:t xml:space="preserve">Quelle: </w:t>
      </w:r>
      <w:r>
        <w:t>https://mcp.opencaselaw.ch/entscheid/ti_gerichte_15.2004.172</w:t>
      </w:r>
    </w:p>
    <w:p>
      <w:r>
        <w:t>FR: TI_GERICHTE 15.2004.172 du 26 octobre 2004</w:t>
      </w:r>
    </w:p>
    <w:p>
      <w:r>
        <w:t>IT: TI_GERICHTE 15.2004.172 del 26 ottobre 2004</w:t>
      </w:r>
    </w:p>
    <w:p>
      <w:pPr>
        <w:pStyle w:val="Heading2"/>
      </w:pPr>
      <w:r>
        <w:t>Regeste</w:t>
      </w:r>
    </w:p>
    <w:p>
      <w:r>
        <w:t>pignoramento di reddito</w:t>
      </w:r>
    </w:p>
    <w:p>
      <w:pPr>
        <w:pStyle w:val="Heading2"/>
      </w:pPr>
      <w:r>
        <w:t>Erwägungen</w:t>
      </w:r>
    </w:p>
    <w:p>
      <w:r>
        <w:rPr>
          <w:b/>
        </w:rPr>
        <w:t>E. 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2</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Guidicelli/Piccirilli, Il pignoramento di redditi ex art. 93 LEF nella pratica ticinese, Lugano 2002, p. 40, n. 126).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Guidicelli/Piccirilli , op. cit., p. 41, n.130). Se il debitore vive in casa propria in luogo del canone di locazione si terrà conto degli interessi ipotecari (cfr. Tabella dei minimi di esistenza, punto 2.1.2).</w:t>
      </w:r>
    </w:p>
    <w:p>
      <w:r>
        <w:rPr>
          <w:b/>
        </w:rPr>
        <w:t>E. 3</w:t>
      </w:r>
    </w:p>
    <w:p>
      <w:r>
        <w:t>Nel caso in esame il ricorrente ha preteso e ottenuto che nel calcolo del minimo di esistenza venissero considerati a titolo di locazione fr. 1’430.--, nonché fr.80.-- per spese di riscaldamento, per un appartamento di 4 locali che l’escusso occupa ad  unitamente alla moglie. Orbene, l’alloggio occupato dall’escusso risulta sproporzionato alle sue effettive esigenze e possibilità, pur tenendo conto che egli ospita saltuariamente il figlio durante l’esercizio del proprio diritto di visita. L’importo riconosciuto dall’CO1 andrebbe quindi ridotto. Una decurtazione in tal senso non viene tuttavia attuata, essendo il contratto di locazione stato stipulato il 10 aprile 2001 per una durata determinata di 5 anni (scadenza il 31 marzo 2006), ma potrà, se del caso, trovare applicazione nel corso di ulteriori pignoramenti a carico dell’escusso.</w:t>
      </w:r>
    </w:p>
    <w:p>
      <w:r>
        <w:rPr>
          <w:b/>
        </w:rPr>
        <w:t>E. 4</w:t>
      </w:r>
    </w:p>
    <w:p>
      <w:r>
        <w:t>Intimazione a:      -   RA1, ; - PI1, Comunicazione all’CO1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