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15.2004.170 vom 27. Oktober 2004</w:t>
      </w:r>
    </w:p>
    <w:p>
      <w:r>
        <w:t>TI Tribunale d'appello, 2004-10-27, IT</w:t>
      </w:r>
    </w:p>
    <w:p>
      <w:r>
        <w:rPr>
          <w:b/>
        </w:rPr>
        <w:t xml:space="preserve">Quelle: </w:t>
      </w:r>
      <w:r>
        <w:t>https://mcp.opencaselaw.ch/entscheid/ti_gerichte_15.2004.170</w:t>
      </w:r>
    </w:p>
    <w:p>
      <w:r>
        <w:t>FR: TI_GERICHTE 15.2004.170 du 27 octobre 2004</w:t>
      </w:r>
    </w:p>
    <w:p>
      <w:r>
        <w:t>IT: TI_GERICHTE 15.2004.170 del 27 ottobre 2004</w:t>
      </w:r>
    </w:p>
    <w:p>
      <w:pPr>
        <w:pStyle w:val="Heading2"/>
      </w:pPr>
      <w:r>
        <w:t>Regeste</w:t>
      </w:r>
    </w:p>
    <w:p>
      <w:r>
        <w:t>pignoramento di reddito</w:t>
      </w:r>
    </w:p>
    <w:p>
      <w:pPr>
        <w:pStyle w:val="Heading2"/>
      </w:pPr>
      <w:r>
        <w:t>Erwägungen</w:t>
      </w:r>
    </w:p>
    <w:p>
      <w:r>
        <w:rPr>
          <w:b/>
        </w:rPr>
        <w:t>E. 2</w:t>
      </w:r>
    </w:p>
    <w:p>
      <w:r>
        <w:t>Secondo la giurisprudenza del Tribunale federale non solo il debitore ma anche il suo coniuge può far valere che il pignoramento di reddito incide sul minimo vitale della famiglia e quindi interporre ricorso contro il verbale di pignoramento (cfr. DTF 116 III 75 consid. 1a). Di conseguenza la moglie del debitore, pur non essendo escussa, è legittimata ad interporre ricorso contro il verbale di pignoramentCO 1.</w:t>
      </w:r>
    </w:p>
    <w:p>
      <w:r>
        <w:rPr>
          <w:b/>
        </w:rPr>
        <w:t>E. 3</w:t>
      </w:r>
    </w:p>
    <w:p>
      <w:r>
        <w:t>Nel caso in cui sia il debitore che il suo coniuge dispongano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(Guidicelli/Piccirilli, Il pignoramento di redditi ex art 93 LEF nella pratica ticinese, Lugano 2002, p.79, n.247). Nel caso di specie l’CO 1 ha quindi agito correttamente considerando nella determinazione del minimo vitale il reddito conseguito dal coniuge dell’escusso. Tuttavia la richiesta della moglie del debitore di considerare nel calcolo del minimo di esistenza l’importo di fr. 300.-- ,oggetto di pignoramento di reddito nei suoi confronti, non può essere accolta non trattandosi di una voce di spesa addebitabile al minimo vitale comune della famiglia secondo la tabella dei minimi di esistenza.</w:t>
      </w:r>
    </w:p>
    <w:p>
      <w:r>
        <w:rPr>
          <w:b/>
        </w:rPr>
        <w:t>E. 4</w:t>
      </w:r>
    </w:p>
    <w:p>
      <w:r>
        <w:t>Il ricorrenti chiedono che venga tenuto conto dei debiti contratti a titolo di imposte comunali e cantonali.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Guidicelli/Piccirilli, op. cit, n. 218, p. 67). Siffatto indirizzo giurisprudenziale concretizza l’intento del legislatore di lasciare all’escusso e alla sua famiglia quanto è assolutamente indispensabile ex art. 92 e 93 LEF per soddisfare i bisogni più elementari. E’ di tutta evidenza che le deduzioni prospettate dal ricorrente per il pagamento dei debiti contratti non possono entrare in linea di conto per il calcolo del minimo vitale: alla luce dei principi giurisprudenziali richiamati, nulla giustifica il privilegio che il debitore pretende sia concesso al Comune e al Cantone.</w:t>
      </w:r>
    </w:p>
    <w:p>
      <w:r>
        <w:rPr>
          <w:b/>
        </w:rPr>
        <w:t>E. 5</w:t>
      </w:r>
    </w:p>
    <w:p>
      <w:r>
        <w:t>I ricorrenti postulano che nel calcolo del minimo vitale vengano inserite le spese per il mantenimento agli studi del figlio venticinquenne. Orbene secondo il punto 2.6. della Tabella dei minimi d’esistenza agli effetti del diritto esecutivo (nel seguito: Tabella) emanata da questa Autorità, le spese supplementari per l’istruzione dei figli sono da considerare fino alla maggiore età. Per costante giurisprudenza e dottrina sull’art. 93 LEF le spese sopportate dal debitore per il mantenimento di un figlio maggiorenne non possono venire considerate nel calcolo del minimo d’esistenza del debitore e della sua famiglia (cfr. DTF 98 III 34; Guidicelli/Piccirilli, op. cit. ,p. 59, n.194). Di conseguenza la richiesta dell’escusso di considerare nel calcolo del minimo di esistenza i costi per gli studi del figlio maggiorenne non può essere accolta.</w:t>
      </w:r>
    </w:p>
    <w:p>
      <w:r>
        <w:rPr>
          <w:b/>
        </w:rPr>
        <w:t>E. 6</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Guidicelli/Piccirilli, op.cit. , p. 40, n. 126).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Guidicelli/Piccirilli, op. cit., p. 41, n.130). Se il debitore vive in casa propria in luogo del canone di locazione si terrà conto degli interessi ipotecari (cfr. Tabella dei minimi di esistenza, punto 2.1.2). Nel caso in esame CO 1 ha considerato nel calcolo del minimo di esistenza l’importo di fr. 1'200.-- a titolo di locazione per un appartamento di 4 locali, che l’escusso occupa a __________ unitamente alla moglie. Come si evince dal contratto di locazione prodotto agli atti, tale importo risulta già comprensivo dei costi accessori, pari a fr. 300.-- mensili. Di conseguenza la richiesta dei ricorrenti di considerare nel calcolo del minimo vitale l’importo mensile di fr. 300.--  per spese di riscaldamento, non può essere accolta. Va rilevato che eventuali spese supplementari di riscaldamento, ad esempio a titolo di conguaglio spese, potranno, se del caso e se documentate, essere oggetto di riesame del pignoramento ai sensi dell’art. 93 cpv. 3 LEF.</w:t>
      </w:r>
    </w:p>
    <w:p>
      <w:r>
        <w:rPr>
          <w:b/>
        </w:rPr>
        <w:t>E. 7</w:t>
      </w:r>
    </w:p>
    <w:p>
      <w:r>
        <w:t>Il ricorso va pertanto respinto. Non si preleva la tassa di giustizia e non si assegnano indennità (art. 61 cpv. 2 lett. a e 62 cpv. 2 OTLEF). Richiamati gli art. 17 e 93 LEF pronuncia: 1. Il ricorso 19 settembre 2004 di RI 1 e RI 2, ,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   PI 1,;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