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15.2004.134 vom 17. September 2004</w:t>
      </w:r>
    </w:p>
    <w:p>
      <w:r>
        <w:t>TI Tribunale d'appello, 2004-09-17, IT</w:t>
      </w:r>
    </w:p>
    <w:p>
      <w:r>
        <w:rPr>
          <w:b/>
        </w:rPr>
        <w:t xml:space="preserve">Quelle: </w:t>
      </w:r>
      <w:r>
        <w:t>https://mcp.opencaselaw.ch/entscheid/ti_gerichte_15.2004.134</w:t>
      </w:r>
    </w:p>
    <w:p>
      <w:r>
        <w:t>FR: TI_GERICHTE 15.2004.134 du 17 septembre 2004</w:t>
      </w:r>
    </w:p>
    <w:p>
      <w:r>
        <w:t>IT: TI_GERICHTE 15.2004.134 del 17 settembre 2004</w:t>
      </w:r>
    </w:p>
    <w:p>
      <w:pPr>
        <w:pStyle w:val="Heading2"/>
      </w:pPr>
      <w:r>
        <w:t>Regeste</w:t>
      </w:r>
    </w:p>
    <w:p>
      <w:r>
        <w:t>domanda di realizzazione. Stima di oggetti pignorati</w:t>
      </w:r>
    </w:p>
    <w:p>
      <w:pPr>
        <w:pStyle w:val="Heading2"/>
      </w:pPr>
      <w:r>
        <w:t>Erwägungen</w:t>
      </w:r>
    </w:p>
    <w:p>
      <w:r>
        <w:rPr>
          <w:b/>
        </w:rPr>
        <w:t>E. 1</w:t>
      </w:r>
    </w:p>
    <w:p>
      <w:r>
        <w:t>Il ricorrente sostiene, come già aveva fatto nel ricorso 13 marzo 2004, che i veicoli non avrebbero dovuto essere pignorati in quanto privi di valore commerciale e contesta la stima effettuata dall’UEF di Mendrisio. Ai sensi dell’art. 97 cpv. 1 LEF il funzionario stima gli oggetti pignorati facendosi assistere, ove occorra, da periti. La dottrina ritiene applicabile per analogia anche agli oggetti mobili l’art. 9 cpv. 2 RFF secondo cui ogni parte interessata, entro il termine di ricorso contro il pignoramento e previo deposito delle spese occorrenti, può chiedere all’autorità di vigilanza una nuova stima a mezzo di periti ( Bénédict Foex , Basler Kommentar zum SchKG, Basilea/Ginevra/ Monaco 1998, n.16–19 ad art. 97 LEF; Amonn/Walther , Grundriss des Schuldbetreibungs – und Konkursrechts, Berna 2003, § 22 n.50, p. 158). Si ricorda tuttavia che la determinazione della stima e la conseguente estensione del pignoramento sono una questione di apprezzamento (cfr. DTF 120 III 81). L’omissione della stima da parte dell’ufficio di esecuzione non è motivo di nullità del pignoramento (cfr. DTF 97 III 20; Amonn/Walther , op. cit., § 22 n. 49, p. 158). Nel caso di specie l_CON1 con lettera 21 luglio 2004 confermava i valori di stima dei veicoli pignorati così come indicati nel verbale di pignoramento 13 febbraio 2004. Tale provvedimento non è stato contestato dall’escusso e di conseguenza i valori di stima indicati dall’_CON1 sono divenuti definitivi. Su questo punto il ricorso è pertanto infondato.</w:t>
      </w:r>
    </w:p>
    <w:p>
      <w:r>
        <w:rPr>
          <w:b/>
        </w:rPr>
        <w:t>E. 2</w:t>
      </w:r>
    </w:p>
    <w:p>
      <w:r>
        <w:t>In virtù dell’art. 116 cpv. 1 LEF il creditore può domandare la realizzazione dei beni mobili, dei crediti e di altri diritti pignorati non prima di un mese né più tardi di un anno dal pignoramento. Nel caso concreto, la società creditrice ha richiesto la vendita dei veicoli pignorati il 13 febbraio 2004 in data 28 luglio 2004, quindi nei termini previsti dalla legge.</w:t>
      </w:r>
    </w:p>
    <w:p>
      <w:r>
        <w:rPr>
          <w:b/>
        </w:rPr>
        <w:t>E. 3</w:t>
      </w:r>
    </w:p>
    <w:p>
      <w:r>
        <w:t>Ne consegue la reiezione del gravame, senza addedito di tasse (art. 20a cpv. 1 primo periodo LEF e 61 cpv. 2 lett. a OTLEF) e di indennità (art. 62 cpv. 2 OLEF).</w:t>
      </w:r>
    </w:p>
    <w:p>
      <w:r>
        <w:rPr>
          <w:b/>
        </w:rPr>
        <w:t>E. 4</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5</w:t>
      </w:r>
    </w:p>
    <w:p>
      <w:r>
        <w:t>Intimazione a: - _RICO1,                                                       - avv. __________, __________ Comunicazione _CON1 Per la Camera di esecuzione e fallimenti del Tribunale d’appello quale autorità di vigilanza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