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15.2004.115 vom 9. November 2004</w:t>
      </w:r>
    </w:p>
    <w:p>
      <w:r>
        <w:t>TI Tribunale d'appello, 2004-11-09, IT</w:t>
      </w:r>
    </w:p>
    <w:p>
      <w:r>
        <w:rPr>
          <w:b/>
        </w:rPr>
        <w:t xml:space="preserve">Quelle: </w:t>
      </w:r>
      <w:r>
        <w:t>https://mcp.opencaselaw.ch/entscheid/ti_gerichte_15.2004.115</w:t>
      </w:r>
    </w:p>
    <w:p>
      <w:r>
        <w:t>FR: TI_GERICHTE 15.2004.115 du 9 novembre 2004</w:t>
      </w:r>
    </w:p>
    <w:p>
      <w:r>
        <w:t>IT: TI_GERICHTE 15.2004.115 del 9 novembre 2004</w:t>
      </w:r>
    </w:p>
    <w:p>
      <w:pPr>
        <w:pStyle w:val="Heading2"/>
      </w:pPr>
      <w:r>
        <w:t>Regeste</w:t>
      </w:r>
    </w:p>
    <w:p>
      <w:r>
        <w:t>esame insinuazione. Collocazione in graduatoria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17 giugno 2004 di e RI 1, , è parzialmente accolto.</w:t>
      </w:r>
    </w:p>
    <w:p>
      <w:r>
        <w:rPr>
          <w:b/>
        </w:rPr>
        <w:t>E. 2</w:t>
      </w:r>
    </w:p>
    <w:p>
      <w:r>
        <w:t>Di conseguenza gli atti sono retrocessi all’CO 1 affinché abbia a determinarsi in merito all’insinuazione della __________ in liquidazione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  – avv. dott. RA 1,; PI 1,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