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15.2004.103 vom 18. August 2004</w:t>
      </w:r>
    </w:p>
    <w:p>
      <w:r>
        <w:t>TI Tribunale d'appello, 2004-08-18, IT</w:t>
      </w:r>
    </w:p>
    <w:p>
      <w:r>
        <w:rPr>
          <w:b/>
        </w:rPr>
        <w:t xml:space="preserve">Quelle: </w:t>
      </w:r>
      <w:r>
        <w:t>https://mcp.opencaselaw.ch/entscheid/ti_gerichte_15.2004.103</w:t>
      </w:r>
    </w:p>
    <w:p>
      <w:r>
        <w:t>FR: TI_GERICHTE 15.2004.103 du 18 août 2004</w:t>
      </w:r>
    </w:p>
    <w:p>
      <w:r>
        <w:t>IT: TI_GERICHTE 15.2004.103 del 18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21 maggio 2004 di RI1, __________, è respinto.</w:t>
      </w:r>
    </w:p>
    <w:p>
      <w:r>
        <w:rPr>
          <w:b/>
        </w:rPr>
        <w:t>E. 2</w:t>
      </w:r>
    </w:p>
    <w:p>
      <w:r>
        <w:t>La segnalazione 14 giugno 2004 di RI1, __________, è evasa ai sensi dei considerandi.</w:t>
      </w:r>
    </w:p>
    <w:p>
      <w:r>
        <w:rPr>
          <w:b/>
        </w:rPr>
        <w:t>E. 3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  – RI1, __________; – RA1, __________; Comunicazione all’CO1. Per la Camera di esecuzione e fallimenti del Tribunale d’appello quale autorità di vigilanza Il vicepresidente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