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15.2003.9 vom 28. Januar 2003</w:t>
      </w:r>
    </w:p>
    <w:p>
      <w:r>
        <w:t>TI Tribunale d'appello, 2003-01-28, IT</w:t>
      </w:r>
    </w:p>
    <w:p>
      <w:r>
        <w:rPr>
          <w:b/>
        </w:rPr>
        <w:t xml:space="preserve">Quelle: </w:t>
      </w:r>
      <w:r>
        <w:t>https://mcp.opencaselaw.ch/entscheid/ti_gerichte_15.2003.9_d20030128</w:t>
      </w:r>
    </w:p>
    <w:p>
      <w:r>
        <w:t>FR: TI_GERICHTE 15.2003.9 du 28 janvier 2003</w:t>
      </w:r>
    </w:p>
    <w:p>
      <w:r>
        <w:t>IT: TI_GERICHTE 15.2003.9 del 28 gennaio 2003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Per l’art. 92 cpv. 1 n. 3 LEF sono impignorabili gli arnesi, gli apparecchi, gli strumenti e i libri, in quanto siano necessari al debitore e alla sua famiglia per l’esercizio della professione. Anche l’automobile, che occorre ad una persona per svolgere la sua attività lavorativa, può, in caso di sufficiente redditività, risultare impignorabile ( Georges Vonder Mühll , Basler Kommentar zum SchKG, Basilea/Ginevra/Monaco 1998, n. 18 -21 ad art. 92 LEF; Amonn/Gasser , Grundriss des Schuldbetreibungs – und Konkursrechts, Berna 1997, § 23 n. 27, p. 170). Secondo la giurisprudenza del Tribunale federale l’ufficio d’esecuzione e l’autorità cantonale di vigilanza devono accertare d’ufficio le circostanze determinanti per l’esclusione della pignorabilità di un bene ( DTF 113 III 78).</w:t>
      </w:r>
    </w:p>
    <w:p>
      <w:r>
        <w:rPr>
          <w:b/>
        </w:rPr>
        <w:t>E. 2</w:t>
      </w:r>
    </w:p>
    <w:p>
      <w:r>
        <w:t>Dall’esame degli atti si evince che l’escusso ha dichiarato di essere totalmente a carico dell’Assistenza sociale e di non svolgere alcuna attività lucrativa (cfr. verbale interno per le operazioni di pignoramento 5 giugno 2002). Siffatta circostanza determina la pignorabilità dell’autofurgone __________ di sua proprietà, non esercitando questo un’attività lucrativa e non essendo quindi adempiuto il requisito della sufficiente redditività del lavoro svolto (cfr. Georges Vonder Mühll , op. cit., n. 21). Il richiamo dell’incanto fiscale è inidoneo a sostanziare attività lucrativa recente, i dati fiscali riferendosi a periodi ormai lontani nel tempo.</w:t>
      </w:r>
    </w:p>
    <w:p>
      <w:r>
        <w:rPr>
          <w:b/>
        </w:rPr>
        <w:t>E. 3</w:t>
      </w:r>
    </w:p>
    <w:p>
      <w:r>
        <w:t>Contro questa decisione è dato ricorso entro dieci giorni alla Camera delle esecuzioni e dei fallimenti del Tribunale federale a Losanna, per il tramite della scrivente Camera di esecuzione e fallimenti del Tribunale d’appello, in conformità dell’art. 19 LEF.</w:t>
      </w:r>
    </w:p>
    <w:p>
      <w:r>
        <w:rPr>
          <w:b/>
        </w:rPr>
        <w:t>E. 4</w:t>
      </w:r>
    </w:p>
    <w:p>
      <w:r>
        <w:t>Intimazione a:  - __________ Per la Camera di esecuzione e fallimenti del Tribunale d’appello quale autorità di vigilanza Il presidente                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