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15.2003.89 vom 28. August 2003</w:t>
      </w:r>
    </w:p>
    <w:p>
      <w:r>
        <w:t>TI Tribunale d'appello, 2003-08-28, IT</w:t>
      </w:r>
    </w:p>
    <w:p>
      <w:r>
        <w:rPr>
          <w:b/>
        </w:rPr>
        <w:t xml:space="preserve">Quelle: </w:t>
      </w:r>
      <w:r>
        <w:t>https://mcp.opencaselaw.ch/entscheid/ti_gerichte_15.2003.89</w:t>
      </w:r>
    </w:p>
    <w:p>
      <w:r>
        <w:t>FR: TI_GERICHTE 15.2003.89 du 28 août 2003</w:t>
      </w:r>
    </w:p>
    <w:p>
      <w:r>
        <w:t>IT: TI_GERICHTE 15.2003.89 del 28 agosto 2003</w:t>
      </w:r>
    </w:p>
    <w:p>
      <w:pPr>
        <w:pStyle w:val="Heading2"/>
      </w:pPr>
      <w:r>
        <w:t>Regeste</w:t>
      </w:r>
    </w:p>
    <w:p>
      <w:r>
        <w:t>Sentenza o decisione senza scheda</w:t>
      </w:r>
    </w:p>
    <w:p>
      <w:pPr>
        <w:pStyle w:val="Heading2"/>
      </w:pPr>
      <w:r>
        <w:t>Erwägungen</w:t>
      </w:r>
    </w:p>
    <w:p>
      <w:r>
        <w:rPr>
          <w:b/>
        </w:rPr>
        <w:t>E. 2</w:t>
      </w:r>
    </w:p>
    <w:p>
      <w:r>
        <w:t>Il ricorrente chiede che nel calcolo del minimo di esistenza venga inserito l’importo  relativi ad un debito contratto con il proprio datore di lavoro. Perché si diano privilegi in diritto di determinati creditori occorre un’espressa norma di legge in tal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(DTF 112 III 18; Guidicelli/Piccirilli, Il pignoramento di redditi ex art 93 LEF nella pratica ticinese, Lugano 2002, n. 218, p. 67). Siffatto indirizzo giurisprudenziale concretizza l’intento del legislatore di lasciare all’escusso e alla sua famiglia quanto è assolutamente indispensabile ex art. 92 e 93 LEF per soddisfare i bisogni più elementari. È di tutta evidenza che la deduzione prospettata dal ricorrente per il pagamento del debito contratto non può entrare in linea di conto per il calcolo del minimo vitale: alla luce dei principi giurisprudenziali richiamati, nulla giustifica il privilegio che il debitore pretende sia concesso a tale creditore. Abbondanzialmente si rileva altresì che, pur seguendo la tesi del ricorrente secondo cui tale importo servirebbe all’acquisto di abiti da lavoro, la deduzione massima ammonta a fr. 60.-- mensili ed è già compensata con l’importo di fr. 100.-- riconosciuto alla voce “assicurazioni diverse”. Tale voce di spesa non è infatti contemplata dalla Tabella dei minimi di esistenza edita da questa Camera ed andrebbe quindi decurtata dal minimo vitale del ricorrente, sennonché alla presente fattispecie torna applicabile l’art. 22 LPR che sancisce il divieto della reformatio in peius.</w:t>
      </w:r>
    </w:p>
    <w:p>
      <w:r>
        <w:rPr>
          <w:b/>
        </w:rPr>
        <w:t>E. 3</w:t>
      </w:r>
    </w:p>
    <w:p>
      <w:r>
        <w:t>Al ricorrente è stato riconosciuto nel minimo vitale l’importo di fr. 295.-- a titolo di premi della cassa malati. Orbene ritenuto che possono essere riconosciuti soltanto gli importi effettivamente pagati ( cfr. DTF 121 III 22 seg.; Guidicelli/Piccirilli , op. cit., n.125, p. 39) e che nel caso di specie risulta che l’escusso non paga il premio della cassa malati __________, essendo quest’ultima tra i creditori pignoranti, tale importo andrebbe stralciato dal minimo di esistenza. Tuttavia anche in tal caso giunge in soccorso dell’escusso l’art. 22 LPR. (divieto delle reformatic…..</w:t>
      </w:r>
    </w:p>
    <w:p>
      <w:r>
        <w:rPr>
          <w:b/>
        </w:rPr>
        <w:t>E. 4</w:t>
      </w:r>
    </w:p>
    <w:p>
      <w:r>
        <w:t>È principio giurisprudenziale e dottrinale indiscusso che le spese fisse e correnti connesse all’uso di un’automobile rientrano nel minimo di esistenza del debitore solo se il veicolo viene dichiarato impignorabile ex art. 92 n. 3 LEF, ossia se il veicolo è necessario al debitore per l’esercizio della sua professione (cfr. DTF 117 III 22, 104 III 73, 97 III 52; guidicelli/piccirilli, op.cit., n.171 ss.51, p). In concreto il ricorrente chiede il riconoscimento delle spese connesse con l’utilizzo della propria autovettura (assicurazione RC e imposta di circolazione). Orbene tale richiesta non può essere accolta, il debitore esercitando la propria attività lucrativa a Bellinzona ed abitando a poche centinaia di metri dal luogo di lavoro. Inoltre l’escusso abita in una zona ben servita dai mezzi pubblici a cui può far capo per i propri spostamenti.</w:t>
      </w:r>
    </w:p>
    <w:p>
      <w:r>
        <w:rPr>
          <w:b/>
        </w:rPr>
        <w:t>E. 5</w:t>
      </w:r>
    </w:p>
    <w:p>
      <w:r>
        <w:t>.   Il ricorso di __________ __________ va pertanto respinto Non si preleva la tassa di giustizia e non si assegnano indennità (art. 61 cpv. 2 lett. a e 62 cpv. 2 OTLEF). Richiamati gli art. 17 e 93 LEF, 61 e 62 OTLEF pronuncia: 1. Il ricorso 4 giugno 2003 di __________ __________,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