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15.2003.34 vom 12. März 2003</w:t>
      </w:r>
    </w:p>
    <w:p>
      <w:r>
        <w:t>TI Tribunale d'appello, 2003-03-12, IT</w:t>
      </w:r>
    </w:p>
    <w:p>
      <w:r>
        <w:rPr>
          <w:b/>
        </w:rPr>
        <w:t xml:space="preserve">Quelle: </w:t>
      </w:r>
      <w:r>
        <w:t>https://mcp.opencaselaw.ch/entscheid/ti_gerichte_15.2003.34</w:t>
      </w:r>
    </w:p>
    <w:p>
      <w:r>
        <w:t>FR: TI_GERICHTE 15.2003.34 du 12 mars 2003</w:t>
      </w:r>
    </w:p>
    <w:p>
      <w:r>
        <w:t>IT: TI_GERICHTE 15.2003.34 del 12 marzo 2003</w:t>
      </w:r>
    </w:p>
    <w:p>
      <w:pPr>
        <w:pStyle w:val="Heading2"/>
      </w:pPr>
      <w:r>
        <w:t>Regeste</w:t>
      </w:r>
    </w:p>
    <w:p>
      <w:r>
        <w:t>Sentenza o decisione senza scheda</w:t>
      </w:r>
    </w:p>
    <w:p>
      <w:pPr>
        <w:pStyle w:val="Heading2"/>
      </w:pPr>
      <w:r>
        <w:t>Erwägungen</w:t>
      </w:r>
    </w:p>
    <w:p>
      <w:r>
        <w:rPr>
          <w:b/>
        </w:rPr>
        <w:t>E. 1</w:t>
      </w:r>
    </w:p>
    <w:p>
      <w:r>
        <w:t>I gravami si basano sul medesimo complesso di fatti e giungono a conclusioni identiche per cui si giustifica la congiunzione delle sei procedure.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 F lavio Cometta , Commentario alla LPR, Lugano 1998, n. 2.1.1.a ad art. 5, p. 96 s.).</w:t>
      </w:r>
    </w:p>
    <w:p>
      <w:r>
        <w:rPr>
          <w:b/>
        </w:rPr>
        <w:t>E. 2</w:t>
      </w:r>
    </w:p>
    <w:p>
      <w:r>
        <w:t>L’avv. dott. __________ non è legittimato a ricorrere a nome proprio, poiché non allega di essere stato concretamente leso nei suoi interessi personali. Infatti egli non vanta alcun diritto direttamente contro la __________ né può richiamarsi al mandato conferitogli dall’assemblea dei creditori, poiché nella sua qualità di ausiliario dell’amministrazione fallimentare è subordinato a quest’ultima. Comunque, pur volendo riconoscergli la qualità di organo di esecuzione forzata a tutti gli effetti, non difende gli interessi di tutti i creditori della massa (cfr. Franco Lorandi , Betreibungs­rechtliche Beschwerde und Nichtigkeit, Basilea/Ginevra/Monaco 2000, n. 187 ss. ad art. 17 ; Isaak Meier , Das Verwaltungs­verfahren vor den Schuldbetreibungs- und Konkursbehörden, Zurigo/Basilea/Ginevra 2002, p. 88 ad c) bensì solo quelli degli altri ricorrenti (ciò che pone peraltro un problema dal punto di vista della sua indipendenza ai sensi dell’art. 10 LEF, senza però richiedere un intervento di questa Camera in assenza di ricorso da parte dei creditori).</w:t>
      </w:r>
    </w:p>
    <w:p>
      <w:r>
        <w:rPr>
          <w:b/>
        </w:rPr>
        <w:t>E. 3</w:t>
      </w:r>
    </w:p>
    <w:p>
      <w:r>
        <w:t>Ex art. 60 cpv. 1 LCA, nel caso di assicurazione contro le conseguenze della responsabilità civile il terzo danneggiato ha, fino a concorrenza del risarcimento a lui spettante, un diritto di pegno sull’indennità dovuta allo stipulante (1° periodo). L’assicuratore può pagare l’indennità direttamente al terzo danneggiato (2° periodo).</w:t>
      </w:r>
    </w:p>
    <w:p>
      <w:r>
        <w:rPr>
          <w:b/>
        </w:rPr>
        <w:t>E. 3.1</w:t>
      </w:r>
    </w:p>
    <w:p>
      <w:r>
        <w:t>Secondo la dottrina (cfr. Roelli/Jaeger , Kommentar zum Schweizerischen Bundesgesetz über den Versicherungsvertrag, vol. II, Berna 1932, n. 68 ad art. 59 e n. 7 ad art. 60; Benoît Carron , Kommentar zum Schweizerischen Bundesgesetz über den Versicherungsvertrag, Basilea/Ginevra/Monaco 2001, n. 7-12 ad art. 59 e n. 6-8 ad art. 60), l’art. 60 LCA si applica anche quando l’assicurazione copre le conseguenze di una responsabilità contrattuale stabilita dalla legge, ad es. in caso d’inadempimento o di cattivo adempimento di un contratto (cfr. art. 97 cpv. 1 CO), anche da parte da un appaltatore (cfr. art. 364 ss. CO). L’art. 60 LCA risulta quindi applicabile nel caso in esame.</w:t>
      </w:r>
    </w:p>
    <w:p>
      <w:r>
        <w:rPr>
          <w:b/>
        </w:rPr>
        <w:t>E. 3.2</w:t>
      </w:r>
    </w:p>
    <w:p>
      <w:r>
        <w:t>Secondo la dottrina ( Roelli/Jaeger , op. cit., n. 20 ad art. 60; Alfred Maurer , Schweizerisches Privatversicherungsrecht, 3. ed., Berna 1995, p. 543 ad 3), l’assicuratore può, in caso di fallimento dello stipulante, pagare l’indennità all’amministrazione fallimentare per conto del terzo danneggiato oppure direttamente in mano di quest’ultimo anche senza il consenso della massa fallimentare. Nel caso concreto può rimanere indecisa la questione di sapere se siffatta opinione possa essere condivisa, oppure se non si debba considerare che alla stregua degli altri diritti di pegno quello della parte lesa è compreso nella massa, fatto salvo il proprio diritto preferenziale (cfr. art. 198 LEF), atteso che se l’art. 60 LCA ha sì quale scopo di evitare che l’indennità dovuta dall’assicurazione sia sottratta al danneggiato dai creditori dell’assicurato (cfr. Roelli/Jaeger , op. cit., n. 1 ad art. 60; Carron , op. cit., n. 2 ad art. 60), il legislatore non pare aver inteso conferire al danneggiato un diritto diretto contro l’assicuratore (ad es. DTF 87 I 98, cons. 1; Roelli/Jaeger , op. cit., n. 28 ad art. 60; Carron , op. cit., n. 13 ad art. 60) – contrariamente a quanto prevede ad esempio l’art. 65 cpv. 1 LCStr – e nemmeno un diritto di distrazione – come invece statuito ad es. all’art. 401 cpv. 3 CO – bensì un semplice diritto di pegno legale, alla stregua dei diritti di ritenzione (art. 895 ss. CC).</w:t>
      </w:r>
    </w:p>
    <w:p>
      <w:r>
        <w:rPr>
          <w:b/>
        </w:rPr>
        <w:t>E. 3.3</w:t>
      </w:r>
    </w:p>
    <w:p>
      <w:r>
        <w:t>Infatti, l’avv. __________ ha ricevuto l’incarico di trattare con la __________ non già da (tutti) i danneggiati bensì dalla massa fallimentare (cfr. supra ad C); egli ha quindi ricevuto la somma di fr. 138'000.-- dall’assicurazione quale ausiliario (“Hilfsperson”, cfr. Franco Lorandi , Durchführung der Verwertung in der Zwangsvollstreckung durch Privatpersonen, AJP 2000, p. 847 s. ad II.A) dell’UEF di Blenio nella sua qualità di amministrazione del fallimento __________ La situazione è ancor più chiara per l’importo di fr. 44'000.--, che è stato versato direttamente in mano dell’Ufficio. Siccome il mandato conferito all’avv. __________ non si estende alla ripartizione delle indennità tra i creditori – senza pregiudizio della questione di sapere se simile delegazione sia giuridicamente possibile – spetta all’Ufficio procedervi, una volta passato in giudicato lo stato di riparto che dovrà ancora essere allestito.</w:t>
      </w:r>
    </w:p>
    <w:p>
      <w:r>
        <w:rPr>
          <w:b/>
        </w:rPr>
        <w:t>E. 4</w:t>
      </w:r>
    </w:p>
    <w:p>
      <w:r>
        <w:t>Il ricorso 9 gennaio 2003 di __________, è respinto.</w:t>
      </w:r>
    </w:p>
    <w:p>
      <w:r>
        <w:rPr>
          <w:b/>
        </w:rPr>
        <w:t>E. 5</w:t>
      </w:r>
    </w:p>
    <w:p>
      <w:r>
        <w:t>Il ricorso 9 gennaio 2003 di __________, è respinto.</w:t>
      </w:r>
    </w:p>
    <w:p>
      <w:r>
        <w:rPr>
          <w:b/>
        </w:rPr>
        <w:t>E. 6</w:t>
      </w:r>
    </w:p>
    <w:p>
      <w:r>
        <w:t>Il ricorso 9 gennaio 2003 di __________, è respinto.</w:t>
      </w:r>
    </w:p>
    <w:p>
      <w:r>
        <w:rPr>
          <w:b/>
        </w:rPr>
        <w:t>E. 7</w:t>
      </w:r>
    </w:p>
    <w:p>
      <w:r>
        <w:t>Il ricorso 9 gennaio 2003 dell’avv. __________, è irricevibile.</w:t>
      </w:r>
    </w:p>
    <w:p>
      <w:r>
        <w:rPr>
          <w:b/>
        </w:rPr>
        <w:t>E. 8</w:t>
      </w:r>
    </w:p>
    <w:p>
      <w:r>
        <w:t>Non si prelevano spese, né si assegnano indennità.</w:t>
      </w:r>
    </w:p>
    <w:p>
      <w:r>
        <w:rPr>
          <w:b/>
        </w:rPr>
        <w:t>E. 9</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10</w:t>
      </w:r>
    </w:p>
    <w:p>
      <w:r>
        <w:t>Intimazione a: - __________ Comunicazione all’UEF di Blenio. Per la Camera di esecuzione e fallimenti del Tribunale d’appello quale autorità di vigilanza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