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15.2003.22 vom 2. Juni 2003</w:t>
      </w:r>
    </w:p>
    <w:p>
      <w:r>
        <w:t>TI Tribunale d'appello, 2003-06-02, IT</w:t>
      </w:r>
    </w:p>
    <w:p>
      <w:r>
        <w:rPr>
          <w:b/>
        </w:rPr>
        <w:t xml:space="preserve">Quelle: </w:t>
      </w:r>
      <w:r>
        <w:t>https://mcp.opencaselaw.ch/entscheid/ti_gerichte_15.2003.22</w:t>
      </w:r>
    </w:p>
    <w:p>
      <w:r>
        <w:t>FR: TI_GERICHTE 15.2003.22 du 2 juin 2003</w:t>
      </w:r>
    </w:p>
    <w:p>
      <w:r>
        <w:t>IT: TI_GERICHTE 15.2003.22 del 2 giugno 2003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Giusta l’art. 97 cpv. 2 LEF il pignoramento è limitato a quanto basti per soddisfare dei loro crediti, in capitale, interessi e spese, i creditori pignoranti. Tali limiti possono essere superati soltanto in maniera trascurabile ed un pignoramento manifestamente eccessivo deve essere ridotto nei termini di cui all’art. 97 cpv. 2 LEF (cfr. Foëx , op. cit. n.24 e 28 ad art. 97 LEF).</w:t>
      </w:r>
    </w:p>
    <w:p>
      <w:r>
        <w:rPr>
          <w:b/>
        </w:rPr>
        <w:t>E. 3</w:t>
      </w:r>
    </w:p>
    <w:p>
      <w:r>
        <w:t>Nel caso in esame l’UE di Lugano, a fronte di procedure esecutive per fr. 46'424.55 , ha pignorato beni mobili per un totale di fr. 318’795.50 di cui fr. 290'095.50 costituiti da conti bancari e titoli. Di conseguenza il pignoramento effettuato dall’UE di Lugano risulta sproporzionato rispetto ai crediti posti in esecuzione. Si impone quindi la retrocessione degli atti all’UE di Lugano affinché riconduca il pignoramento a carico di __________, effettuato nel gruppo 18317, entro i limiti di cui all’art. 97 cpv. 2 LEF.</w:t>
      </w:r>
    </w:p>
    <w:p>
      <w:r>
        <w:rPr>
          <w:b/>
        </w:rPr>
        <w:t>E. 4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5</w:t>
      </w:r>
    </w:p>
    <w:p>
      <w:r>
        <w:t>Intimazione a: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