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15.2003.20 vom 12. März 2003</w:t>
      </w:r>
    </w:p>
    <w:p>
      <w:r>
        <w:t>TI Tribunale d'appello, 2003-03-12, IT</w:t>
      </w:r>
    </w:p>
    <w:p>
      <w:r>
        <w:rPr>
          <w:b/>
        </w:rPr>
        <w:t xml:space="preserve">Quelle: </w:t>
      </w:r>
      <w:r>
        <w:t>https://mcp.opencaselaw.ch/entscheid/ti_gerichte_15.2003.20</w:t>
      </w:r>
    </w:p>
    <w:p>
      <w:r>
        <w:t>FR: TI_GERICHTE 15.2003.20 du 12 mars 2003</w:t>
      </w:r>
    </w:p>
    <w:p>
      <w:r>
        <w:t>IT: TI_GERICHTE 15.2003.20 del 12 marzo 2003</w:t>
      </w:r>
    </w:p>
    <w:p>
      <w:pPr>
        <w:pStyle w:val="Heading2"/>
      </w:pPr>
      <w:r>
        <w:t>Regeste</w:t>
      </w:r>
    </w:p>
    <w:p>
      <w:r>
        <w:t>Sentenza o decisione senza scheda</w:t>
      </w:r>
    </w:p>
    <w:p>
      <w:pPr>
        <w:pStyle w:val="Heading2"/>
      </w:pPr>
      <w:r>
        <w:t>Erwägungen</w:t>
      </w:r>
    </w:p>
    <w:p>
      <w:r>
        <w:rPr>
          <w:b/>
        </w:rPr>
        <w:t>E. 1</w:t>
      </w:r>
    </w:p>
    <w:p>
      <w:r>
        <w:t>a)   Secondo l'art. 268 cpv. 1 CO per la pigione annuale scaduta e per quella del semestre in corso, il locatore di locali commerciali ha un diritto di ritenzione sulle cose mobili che vi si trovano e servono al loro uso o godimento. b)   Secondo giurisprudenza e dottrina la legittimazione a presentare ricorso è un presupposto processuale che deve essere riconosciuto a ogni parte lesa nei suoi interessi giuridicamente protetti da una misura dell'organo d'esecuzione forzata, costitutiva almeno di un pregiudizio di fatto attuale. Vi è carenza di legittimazione processuale, ad esempio, quando il ricorrente è persona completamente estranea all'esecuzione, quando non pretende di rappresentare l'escusso e nemmeno vanta diritto alcuno sui beni oggetto della realizzazione in corso come pure quando non è toccato nei suoi interessi specifici (cfr. Flavio Cometta, Commentario alla LPR, Lugano 1998, n. 3.3.1. ad art. 7, p. 122). c)   Nel caso in esame la __________ ha chiesto l'annullamento del verbale per la formazione di un inventario di oggetti vincolati da un diritto di ritenzione, dichiarando esplicitamente di non essere proprietaria degli oggetti inventariati. Ora, indipendentemente dalla questione di sapere se il "precontratto" 13 maggio 2002 è stato stipulato validamente, alla __________ manca un interesse degno di protezione per potersi aggravare contro il verbale in oggetto, non essendo toccata nei suoi interessi, per cui difetta della legittimazione a presentare ricorso ex art. 17 LEF.</w:t>
      </w:r>
    </w:p>
    <w:p>
      <w:r>
        <w:rPr>
          <w:b/>
        </w:rPr>
        <w:t>E. 2</w:t>
      </w:r>
    </w:p>
    <w:p>
      <w:r>
        <w:t>Non si prelevano spese e non si assegnano indennità.</w:t>
      </w:r>
    </w:p>
    <w:p>
      <w:r>
        <w:rPr>
          <w:b/>
        </w:rPr>
        <w:t>E. 3</w:t>
      </w:r>
    </w:p>
    <w:p>
      <w:r>
        <w:t>Contro questa sentenza è dato ricorso entro dieci giorni alla Camera delle esecuzioni e dei fallimenti del Tribunale federale, Losanna, per il tramite della scrivente Camera di esecuzione e fallimenti del Tribunale di appello, Lugano, in conformità dell'art. 19 LEF.</w:t>
      </w:r>
    </w:p>
    <w:p>
      <w:r>
        <w:rPr>
          <w:b/>
        </w:rPr>
        <w:t>E. 4</w:t>
      </w:r>
    </w:p>
    <w:p>
      <w:r>
        <w:t>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