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15.2003.155 vom 19. November 2004</w:t>
      </w:r>
    </w:p>
    <w:p>
      <w:r>
        <w:t>TI Tribunale d'appello, 2004-11-19, IT</w:t>
      </w:r>
    </w:p>
    <w:p>
      <w:r>
        <w:rPr>
          <w:b/>
        </w:rPr>
        <w:t xml:space="preserve">Quelle: </w:t>
      </w:r>
      <w:r>
        <w:t>https://mcp.opencaselaw.ch/entscheid/ti_gerichte_15.2003.155</w:t>
      </w:r>
    </w:p>
    <w:p>
      <w:r>
        <w:t>FR: TI_GERICHTE 15.2003.155 du 19 novembre 2004</w:t>
      </w:r>
    </w:p>
    <w:p>
      <w:r>
        <w:t>IT: TI_GERICHTE 15.2003.155 del 19 novembre 2004</w:t>
      </w:r>
    </w:p>
    <w:p>
      <w:pPr>
        <w:pStyle w:val="Heading2"/>
      </w:pPr>
      <w:r>
        <w:t>Regeste</w:t>
      </w:r>
    </w:p>
    <w:p>
      <w:r>
        <w:t>procedimento disciplinare</w:t>
      </w:r>
    </w:p>
    <w:p>
      <w:pPr>
        <w:pStyle w:val="Heading2"/>
      </w:pPr>
      <w:r>
        <w:t>Erwägungen</w:t>
      </w:r>
    </w:p>
    <w:p>
      <w:r>
        <w:rPr>
          <w:b/>
        </w:rPr>
        <w:t>E. 1</w:t>
      </w:r>
    </w:p>
    <w:p>
      <w:r>
        <w:t>L'Autorità cantonale di vigilanza esercita il potere disciplinare sugli organi d'esecuzione forzata in conformità con l'art. 14 LEF (art. 11 LALEF). Il procedimento disciplinare, che riveste natura amministrativa, ha quale funzione il mantenimento dell’ordine, così come la salvaguardia della considerazione nei confronti delle autorità, nonché la fiducia nelle stesse (cfr. Lorandi , Betreibungsrechtliche Beschwerde und Nichtigkeit, n. 12-13 ad art. 14).</w:t>
      </w:r>
    </w:p>
    <w:p>
      <w:r>
        <w:rPr>
          <w:b/>
        </w:rPr>
        <w:t>E. 2</w:t>
      </w:r>
    </w:p>
    <w:p>
      <w:r>
        <w:t>Il procedimento disciplinare – per il quale non si applica l'art. 6 § 1 CEDU (cfr. J oëlle Pralus-Dupuy , Discipline: Application de l'article 6 de la Convention EDH devant le conseil de l'Ordre [des avocats], in: JCP G 1999, II, 10102, ad A n. 1 e nota 6 [p. 1091]), non trattandosi di contenzioso di carattere penale o civile, tanto per i funzionari e gli impiegati dello Stato (art. 2 cpv. 3 LALEF) quanto per gli organi di esecuzione e fallimento non sottoposti alla LORD (art. 7 LALEF) – è retto nel nostro Cantone dalla LPR (art. 11 cpv. 2 LALEF) e può essere promosso d'ufficio dall'Autorità cantonale di vigilanza o su segnalazione/denuncia di ogni interessato al corretto funzionamento del diritto esecutivo federale (Flavio Cometta , Commentario alla LPR, Lugano 1998, n. 2.5.a-b ad art. 3, p. 86).</w:t>
      </w:r>
    </w:p>
    <w:p>
      <w:r>
        <w:rPr>
          <w:b/>
        </w:rPr>
        <w:t>E. 3</w:t>
      </w:r>
    </w:p>
    <w:p>
      <w:r>
        <w:t>.   Giusta l’art. 14 cpv. 2 LEF nei confronti dell’ufficiale o di un impiegato possono essere prese le misure disciplinari seguenti: l’ammonimento, la multa sino a 1000 franchi, la sospensione dall’ufficio per una durata non maggiore di sei mesi, la destituzione.</w:t>
      </w:r>
    </w:p>
    <w:p>
      <w:r>
        <w:rPr>
          <w:b/>
        </w:rPr>
        <w:t>E. 4</w:t>
      </w:r>
    </w:p>
    <w:p>
      <w:r>
        <w:t>Mentre il catalogo delle misure disciplinari è puntuale ed esaustivo, i fatti costitutivi dell’infrazione disciplinare non sono definiti nella legge. Ogni violazione dei doveri di funzione in generale, che la stessa sia stata commessa durante le ore di lavoro o di riposo (compresi i delitti di diritto comune perpetrati fuori dell’orario di servizio), nonché ogni violazione dei doveri particolari che impone una corretta applicazione del diritto esecutivo – comprese eventuali direttive impartite dalle autorità di vigilanza – sono passibili di sanzione disciplinare (cfr. Pierre-Robert Gilliéron , Commentaire de la LP, vol. I, Losanna 1999, n. 32 ad art. 14), con il rilievo però che in virtù del principio di opportunità che informa il diritto disciplinare, non ogni violazione dei doveri di funzione deve essere sanzionata (cfr. Franck Emmel , Basler Kommentar zum SchKG, vol. I, Basilea/Ginevra/ Monaco 1998, n. 10 ad art. 14). Sebbene la legge non lo precisi, la colpa è una condizione essenziale dell'intervento disciplinare (cfr. Gilliéron , op. cit., n. 14 e 32 ad art. 14; Emmel , op. cit., n. 8 ad art. 14; Lorandi , op. cit., n. 33 e 36 ad art. 14). Infine, la sanzione disciplinare deve rispettare il principio della proporzionalità, ciò che significa che, da una parte, essa deve essere idonea a garantire l’osservanza dei doveri di servizio, la corretta ed efficace esecuzione delle mansioni pubbliche, nonché la salvaguardia della fiducia nell’amministrazione, e dall’altra, dev'essere commisurata alla gravità oggettiva dell’infrazione e al grado di colpa dell’agente (cfr. Lorandi , op. cit., n. 40 ad art. 14).</w:t>
      </w:r>
    </w:p>
    <w:p>
      <w:r>
        <w:rPr>
          <w:b/>
        </w:rPr>
        <w:t>E. 5</w:t>
      </w:r>
    </w:p>
    <w:p>
      <w:r>
        <w:t>Nel caso concreto, dall’istruttoria è emerso che __________ DN 1, nella sua qualità di caposervizio UEF, ha oggettivamente commesso violazioni dei doveri di servizio. In particolare, egli ha ritenuto di recuperare di propria iniziativa quanto non aveva esposto sulla base della nuova tariffa, segnatamente omettendo –visto come non esistesse nessuna disposizione di carattere generale- di richiederne l'autorizzazione ai suoi superiori d’ufficio (verbali dell’ufficio 8 maggio 2003 e 2 ottobre 2003; interrogatorio di DN 1 20 ottobre 2003). Così facendo egli ha agito, per sua stessa ammissione, in maniera sconsiderata, oltretutto senza rendersi conto di poter arrecare un danno allo Stato, pari a complessivi fr. 5'539.55 (fr. 4'500.- + fr. 1'039.55) per il fatto che le maggiori spese di trasferta non potevano più essere caricate sulle corrispondenti esecuzioni, trattandosi di pratiche ormai chiuse a livello contabile. E nemmeno risulta (né il funzionario se ne avvale) che, in qualche modo e per quel che potrebbe contare, egli abbia tentato di sanare quella situazione a posteriori, chiedendone un’approvazione. E’ tuttavia pacifico che DN 1 ha poi restituito tutte le somme pertoccate indebitamente, colmando il danno dell’ente pubblico.</w:t>
      </w:r>
    </w:p>
    <w:p>
      <w:r>
        <w:rPr>
          <w:b/>
        </w:rPr>
        <w:t>E. 6</w:t>
      </w:r>
    </w:p>
    <w:p>
      <w:r>
        <w:t>Diversa (e di diverso peso) sarebbe la questione di stabilire se il funzionario abbia veramente inteso appropriarsi esattamente soltanto delle asserite differenze sulle indennità di trasferta o se –come afferma l’Ispettorato delle finanze- egli si sarebbe appropriato di un importo maggiore di quanto non potesse ritenere di aver diritto (Rapporto di revisione 22 dicembre 2003). Sennonché, quel fatto (né il documento in sé), così come ulteriori rimproveri riguardanti l’attività di DN 1 (cui si è accennato al cons. G della presente decisione) non gli sono stati contestati nel corso di questa indagine e non possono quindi essergli ascritti, rispettivamente essere considerati come accertati ai fini della decisione disciplinare. Né appare indicato    -dopo quasi un anno dal suo interrogatorio- riaprire la fase istruttoria.</w:t>
      </w:r>
    </w:p>
    <w:p>
      <w:r>
        <w:rPr>
          <w:b/>
        </w:rPr>
        <w:t>E. 7</w:t>
      </w:r>
    </w:p>
    <w:p>
      <w:r>
        <w:t>Visto in particolare quanto esposto sub 5, le violazioni accertate a carico di __________ DN 1 si possono qualificare oggettivamente di media entità per il ripetuto modo di procedere e per aver agito a distanza di mesi, mai ritenendo almeno di informare qualcuno sui prelevamenti che andava operando. Ha d’altra parte una rilevanza relativa il fatto che si sia dichiarato subito pronto alla restituzione delle somme e che ciò sia effettivamente avvenuto, dal momento che la sua disponibilità è pur stata susseguente alla scoperta dei fatti da parte dei suoi superiori e all’accertamento degli importi prelevati. Né va dimenticato che il funzionario, in merito all’entità delle somme, ha dovuto far capo a “rettifiche” per indicarne definitivamente il totale, che nemmeno corrispondeva agli accertamenti dell’Ispettorato finanze ma che DN 1 ha riconosciuto, almeno al fine della totale restituzione dell’indebito (accordo/conteggio 23 gennaio 2004).</w:t>
      </w:r>
    </w:p>
    <w:p>
      <w:r>
        <w:rPr>
          <w:b/>
        </w:rPr>
        <w:t>E. 8</w:t>
      </w:r>
    </w:p>
    <w:p>
      <w:r>
        <w:t>Dal profilo soggettivo, è accertata e ammessa la circostanza che __________ DN 1 ha volontariamente prelevato importi dalla cassa dell’UEF di __________ senza darne comunicazione ai suoi superiori, né essendovi autorizzato. In suo favore va però rilevato che ha agito con l’intenzione affermata e sostenibile di recuperare importi a titolo di indennità di proprie trasferte professionali, non percepite interamente dal 1997 al 2002. Il presupposto della colpa è così dato, ancorché certamente non grave, con particolare riferimento alle modalità messe in atto nel concreto, sicuramente difformi dalla correttezza e dalla chiarezza che devono connotare l’agire di un collaboratore di un Ufficio esecuzione e fallimenti, anche quando intende difendere i propri diritti, segnatamente pecuniari. La misura disciplinare adeguata alla gravità della fattispecie è pertanto quella più lieve dell’ammonimento che tiene in debito conto sia i sedici anni trascorsi da DN 1 alle dipendenze dello Stato, sia la circostanza che si tratta della prima decisione disciplinare a suo carico, sia infine la restituzione del totale delle somme prelevate. Richiamati gli art. 14 cpv. 2 e (per le spese) l’art. 20a cpv. 1 LEF, nonché l’art. 11 LALEF,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