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15.2003.11 vom 6. Februar 2003</w:t>
      </w:r>
    </w:p>
    <w:p>
      <w:r>
        <w:t>TI Tribunale d'appello, 2003-02-06, IT</w:t>
      </w:r>
    </w:p>
    <w:p>
      <w:r>
        <w:rPr>
          <w:b/>
        </w:rPr>
        <w:t xml:space="preserve">Quelle: </w:t>
      </w:r>
      <w:r>
        <w:t>https://mcp.opencaselaw.ch/entscheid/ti_gerichte_15.2003.11</w:t>
      </w:r>
    </w:p>
    <w:p>
      <w:r>
        <w:t>FR: TI_GERICHTE 15.2003.11 du 6 février 2003</w:t>
      </w:r>
    </w:p>
    <w:p>
      <w:r>
        <w:t>IT: TI_GERICHTE 15.2003.11 del 6 febbraio 2003</w:t>
      </w:r>
    </w:p>
    <w:p>
      <w:pPr>
        <w:pStyle w:val="Heading2"/>
      </w:pPr>
      <w:r>
        <w:t>Regeste</w:t>
      </w:r>
    </w:p>
    <w:p>
      <w:r>
        <w:t>Sentenza o decisione senza scheda</w:t>
      </w:r>
    </w:p>
    <w:p>
      <w:pPr>
        <w:pStyle w:val="Heading2"/>
      </w:pPr>
      <w:r>
        <w:t>Erwägungen</w:t>
      </w:r>
    </w:p>
    <w:p>
      <w:r>
        <w:rPr>
          <w:b/>
        </w:rPr>
        <w:t>E. 2</w:t>
      </w:r>
    </w:p>
    <w:p>
      <w:r>
        <w:t>L’escusso pretende che nel calcolo del minimo vitale vengano inserite le spese di viaggio per recarsi a __________ a visitare la figlia, che egli asserisce di non vedere da 5 anni. Orbene, siffatto importo non può essere calcolato nel minimo di esistenza dell’escusso, in quanto spese di questo genere non rientrano in quelle riconosciute in base agli attuali principi dottrinali e giurisprudenziali riferiti al calcolo del minimo di esistenza agli effetti del diritto esecutivo.</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Il pignoramento di redditi nella pratica ticinese ex art. 93 LEF,Agno 2002,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il ricorrente ha preteso e ottenuto che nel calcolo del minimo di esistenza venissero considerati a titolo di locazione fr. 1’327.-- per un appartamento di 3 ½ locali che da lui occupa da solo a __________. L’appartamento occupato risulta quindi sproporzionato alla sue effettive esigenze Di conseguenza l’importo riconosciuto a titolo di canone locatizio andrebbe ridotto a fr. 1'000.--, pari al costo di un appartamento di 2 locali a __________ o in un Comune viciniore. Tale decurtazione non viene tuttavia attuata ostandovi il divieto della reformatio in peius sancito dall’art. 22 LPR, ma potrà, se del caso, trovare applicazione nel corso di ulteriori pignoramenti a carico dell’escusso.</w:t>
      </w:r>
    </w:p>
    <w:p>
      <w:r>
        <w:rPr>
          <w:b/>
        </w:rPr>
        <w:t>E. 4</w:t>
      </w:r>
    </w:p>
    <w:p>
      <w:r>
        <w:t>Secondo la giurisprudenza del Tribunale federale, quanto necessita al sostentamento delle persone a carico del debitore è da includere nel calcolo del minimo di esistenza solo se il debitore paga effettivamente tale importo (DTF 121 III 20; 120 III 16; Guidicelli/Piccirilli , op. cit., n.125, p. 39). Nel caso di specie il ricorrente sostiene di pagare fr. 500.-- mensili a titolo di alimenti per la figlia __________. Egli produce la sentenza di divorzio, nella quale viene stabilito il contributo alimentare, ma non produce alcun giustificativo che dimostri l’effettivo pagamento di tale importo. Orbene, considerato che possono essere posti in deduzione solo gli importi realmente corrisposti dall’escusso (cfr. DTF 121 III 20) e ritenuto che egli non ha dimostrato il pagamento dell’importo posto in deduzione, lo stesso andrebbe stralciato dal calcolo del minimo di esistenza. Anche in questo caso giunge in soccorso del debitore la norma di cui all’art. 22 LPR. In caso di ulteriori pignoramenti dovranno essere tuttavia allegati tutti i documenti giustificativi comprovanti il pagamento degli alimenti per la figlia __________, pena lo stralcio di tale voce di spesa nel calcolo del minimo di esistenza.</w:t>
      </w:r>
    </w:p>
    <w:p>
      <w:r>
        <w:rPr>
          <w:b/>
        </w:rPr>
        <w:t>E. 5</w:t>
      </w:r>
    </w:p>
    <w:p>
      <w:r>
        <w:t>Ne consegue la reiezione del gravame. Sulle spese e sulle ripetibili, protestate dai ricorrenti,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13 dicembre 2003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