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15.2002.95 vom 29. Juli 2002</w:t>
      </w:r>
    </w:p>
    <w:p>
      <w:r>
        <w:t>TI Tribunale d'appello, 2002-07-29, IT</w:t>
      </w:r>
    </w:p>
    <w:p>
      <w:r>
        <w:rPr>
          <w:b/>
        </w:rPr>
        <w:t xml:space="preserve">Quelle: </w:t>
      </w:r>
      <w:r>
        <w:t>https://mcp.opencaselaw.ch/entscheid/ti_gerichte_15.2002.95</w:t>
      </w:r>
    </w:p>
    <w:p>
      <w:r>
        <w:t>FR: TI_GERICHTE 15.2002.95 du 29 juillet 2002</w:t>
      </w:r>
    </w:p>
    <w:p>
      <w:r>
        <w:t>IT: TI_GERICHTE 15.2002.95 del 29 luglio 2002</w:t>
      </w:r>
    </w:p>
    <w:p>
      <w:pPr>
        <w:pStyle w:val="Heading2"/>
      </w:pPr>
      <w:r>
        <w:t>Regeste</w:t>
      </w:r>
    </w:p>
    <w:p>
      <w:r>
        <w:t>Sentenza o decisione senza scheda</w:t>
      </w:r>
    </w:p>
    <w:p>
      <w:pPr>
        <w:pStyle w:val="Heading2"/>
      </w:pPr>
      <w:r>
        <w:t>Erwägungen</w:t>
      </w:r>
    </w:p>
    <w:p>
      <w:r>
        <w:rPr>
          <w:b/>
        </w:rPr>
        <w:t>E. 2</w:t>
      </w:r>
    </w:p>
    <w:p>
      <w:r>
        <w:t>Secondo il punto 1.1. della Tabella per il calcolo dei minimi di esistenza agli effetti del diritto esecutivo ( in seguito: Tabella) l’importo base mensile per il debitore che vive solo ammonta a fr. 1'100.--. Tale importo è destinato a coprire le spese per i bisogni vitali dell’escusso e della sua famiglia quali le spese di sostentamento, abbigliamento e biancheria, igiene e salute, manutenzione delle apparecchiature e dell’arredamento domestico, cultura e spese di elettricità ( Guidicelli/Piccirilli, Il pignoramento di redditi ex art 93 LEF nella pratica ticinese, Lugano 2002, p.36, n. 114). Nel caso di specie le spese di cui viene chiesto il riconoscimento, segnatamente le spese per telefono e elettricità, sono già comprese nell’importo base mensile. Per contro non può essere riconosciuto alcun supplemento per il mantenimento dei gatti che vivono con la debitrice, non essendo il mantenimento di animali contemplato nella Tabella.</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op.cit. ,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 Nel caso in esame la ricorrente ha preteso e ottenuto che nel calcolo del minimo di esistenza venissero considerati a titolo di locazione fr. 940.-- per un appartamento di 3 locali  a __________ che l’escussa occupa da sola. Orbene tale alloggio è dimensionato in modo eccessivo rispetto alle effettive necessità dell’escussa. Tuttavia ritenuto che il canone di locazione ammonta a fr. 880.-- e considerato che in caso di trasloco alla debitrice andrebbero riconosciuti i relativi costi, si prescinde dal voler invitare la ricorrente ad un cambiamento di alloggio. Per quanto concerne l’importo mensile di fr. 60.-- che la ricorrente paga a titolo di canone di locazione per un posteggio, lo stesso andrebbe eliminato dal minimo di esistenza, non avendo l’escussa dimostrato la necessità di possedere un veicolo per esercitare la propria attività lavorativa, essendo la ricorrente disoccupata. Tale ulteriore decurtazione non viene tuttavia attuata ostandovi il divieto della reformatio in peius sancito dall’art. 22 LPR.</w:t>
      </w:r>
    </w:p>
    <w:p>
      <w:r>
        <w:rPr>
          <w:b/>
        </w:rPr>
        <w:t>E. 4</w:t>
      </w:r>
    </w:p>
    <w:p>
      <w:r>
        <w:t>Alla voce "cassa malati " è stato riconosciuto l'importo mensile di fr. 310.--. Orbene, dal certificato della cassa malati __________ prodotto dalla ricorrente si evince che tale importo si riferisce alle prestazioni obbligatorie secondo la __________. Considerato che, nel calcolo del minimo di esistenza a titolo di premio della cassa malati  può essere riconosciuta unicamente l’assicurazione obbligatoria,  l’UEF di __________ ha quindi agito correttamente.</w:t>
      </w:r>
    </w:p>
    <w:p>
      <w:r>
        <w:rPr>
          <w:b/>
        </w:rPr>
        <w:t>E. 5</w:t>
      </w:r>
    </w:p>
    <w:p>
      <w:r>
        <w:t>Ne consegue la reiezione del gravame. Sulle spese e sulle ripetibili, protestate dai ricorrenti,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28 giugno 2002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