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15.2002.62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https://mcp.opencaselaw.ch/entscheid/ti_gerichte_15.2002.62</w:t>
      </w:r>
    </w:p>
    <w:p>
      <w:r>
        <w:t>FR: TI_GERICHTE 15.2002.62 du 29 juillet 2002</w:t>
      </w:r>
    </w:p>
    <w:p>
      <w:r>
        <w:t>IT: TI_GERICHTE 15.2002.62 del 29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29.07.2002 15.2002.62</w:t>
      </w:r>
    </w:p>
    <w:p>
      <w:r>
        <w:t>Sentenza o decisione senza scheda</w:t>
      </w:r>
    </w:p>
    <w:p>
      <w:r>
        <w:t>Incarto n. 15.2002.00062 Lugano 29 luglio 2002 /EC/fc/rgc In nome della Repubblica e Cantone del Ticino La Camera di esecuzione e fallimenti del Tribunale d'appello quale autorità di vigilanza composta dei giudici: Cometta, presidente, Pellegrini, Rusca segretario: Cassina, vicecancelliere statuendo sul ricorso 26 aprile 2002 di __________ Contro l’operato dell’ Ufficio di esecuzione e fallimenti di Bellinzona nelle esecuzioni n. __________, __________ promosse da vari creditori contro __________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il nuovo provvedimento dell'organo di esecuzione forzata, sostitutivo del precedente, se non impugnato cresce in giudicato formale nella procedura in corso ( Flavio Cometta , Commentario alla LPR , Lugano 1998, n. 2.1.c ad art. 11, pag. 205); che se il nuovo provvedimento accoglie integralmente le richieste del ricorrente, l'autorità di vigilanza stralcia il ricorso dai ruoli ( DTF 126 III 86 cons. 3); che nel caso in esame l'UEF di Bellinzona, con la sua riconsiderazione del 13 giugno 2002, decidendo “la chiusura delle procedure esecutive” e il rilascio degli attestati di carenza beni contro __________, ha in sostanza integralmente accolto le richieste formulate dalla ricorrente __________ con l’atto di ricorso del 26 aprile 2002; che nessun gravame è stato interposto contro il provvedimento di riconsiderazione del 13 giugno 2002; che di conseguenza il ricorso 26 aprile 2002 è così divenuto privo d’oggetto e va stralciato dai ruoli; che sulle tasse occorre ricordare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2a); che per lo stesso motivo non si assegnano indennità (art. 62 cpv. 2 OTLEF). Richiamati gli art. 17 cpv. 4 LEF; 61 cpv. 2 lett. a e 62 cpv. 2 OTLEF; pronuncia: 1. Il ricorso 26 aprile 2002 __________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Bellinzona.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