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15.2002.58 vom 29. Juli 2002</w:t>
      </w:r>
    </w:p>
    <w:p>
      <w:r>
        <w:t>TI Tribunale d'appello, 2002-07-29, IT</w:t>
      </w:r>
    </w:p>
    <w:p>
      <w:r>
        <w:rPr>
          <w:b/>
        </w:rPr>
        <w:t xml:space="preserve">Quelle: </w:t>
      </w:r>
      <w:r>
        <w:t>https://mcp.opencaselaw.ch/entscheid/ti_gerichte_15.2002.58</w:t>
      </w:r>
    </w:p>
    <w:p>
      <w:r>
        <w:t>FR: TI_GERICHTE 15.2002.58 du 29 juillet 2002</w:t>
      </w:r>
    </w:p>
    <w:p>
      <w:r>
        <w:t>IT: TI_GERICHTE 15.2002.58 del 29 luglio 2002</w:t>
      </w:r>
    </w:p>
    <w:p>
      <w:pPr>
        <w:pStyle w:val="Heading2"/>
      </w:pPr>
      <w:r>
        <w:t>Regeste</w:t>
      </w:r>
    </w:p>
    <w:p>
      <w:r>
        <w:t>Sentenza o decisione senza scheda</w:t>
      </w:r>
    </w:p>
    <w:p>
      <w:pPr>
        <w:pStyle w:val="Heading2"/>
      </w:pPr>
      <w:r>
        <w:t>Erwägungen</w:t>
      </w:r>
    </w:p>
    <w:p>
      <w:r>
        <w:rPr>
          <w:b/>
        </w:rPr>
        <w:t>E. 2</w:t>
      </w:r>
    </w:p>
    <w:p>
      <w:r>
        <w:t>Nel caso in cui sia il debitore che il suo coniuge dispongano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 Guidicelli/Piccirilli, Il pignoramento di redditi ex art 93 LEF nella pratica ticinese, Lugano 2002, p.79, n.247). Nel caso di specie l’UEF di Riviera ha quindi agito correttamente conteggiando nei redditi dell’escusso gli introiti percepiti dalla moglie . Le prestazioni della previdenza professionale sono impignorabili fino al verificarsi del caso di previdenza (cfr. art. 92 n. 10 LEF). Una volta esigibili, tali prestazioni sono limitatamente pignorabili come le altre rendite dell’art. 93 LEF, indipendentemente dal fatto che esse siano versate per vecchiaia, decesso o infortunio ( DTF 120 III 71). Esse possono quindi essere pignorate nella misura in cui eccedono il minimo vitale. Nel caso di specie l’UEF di Riviera ha quindi correttamente conteggiato nei redditi dei coniugi __________ la rendita di invalidità versata dal Fondo di Previdenza per il Personale del__________ __________ .</w:t>
      </w:r>
    </w:p>
    <w:p>
      <w:r>
        <w:rPr>
          <w:b/>
        </w:rPr>
        <w:t>E. 3</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il ricorrente ha preteso e ottenuto che nel calcolo del minimo di esistenza venissero considerati a titolo di locazione fr. 1’500.-- per una villetta unifamigliare di 180 mq che l’escusso occupa a __________ unitamente alla moglie. Orbene tale alloggio è manifestamente sproporzionato alle effettive necessità e possibilità economiche dell’escusso. Di conseguenza l’UEF di __________ ha agito correttamente decidendo di ridurre a fr. 1'100.-- l’importo riconosciuto a titolo di canone locatizio dal primo termine utile di disdetta, Occorre inoltre rilevare che tale importo andrebbe ulteriormente ridotto, potendo essere riconosciuto unicamente il canone locatizio per un appartamento di 2 locali a __________ o in un Comune viciniore, il cui importo è sicuramente inferiore a fr. 1'100.-- mensili. Tale ulteriore decurtazione non viene tuttavia attuata ostandovi il divieto della reformatio in peius sancito dall’art. 22 LPR.</w:t>
      </w:r>
    </w:p>
    <w:p>
      <w:r>
        <w:rPr>
          <w:b/>
        </w:rPr>
        <w:t>E. 4</w:t>
      </w:r>
    </w:p>
    <w:p>
      <w:r>
        <w:t>Il ricorrente chiede che venga tenuto conto dei debiti contratti a titolo di imposte comunali e cantonali, nonché della tassa comunale per la raccolta rifiuti.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Guidicelli/Piccirilli, op. cit, n. 218, p. 67). Siffatto indirizzo giurisprudenziale concretizza l’intento del l legislatore di lasciare all’escusso e alla sua famiglia quanto è assolutamente indispensabile ex art. 92 e 93 LEF per soddisfare i bisogni più elementari. E’ di tutta evidenza che le deduzioni prospettate dal ricorrente per il pagamento dei debiti contratti non possono entrare in linea di conto per il calcolo del minimo vitale: alla luce dei principi giurisprudenziali richiamati, nulla giustifica il privilegio che il debitore pretende sia concesso al Comune e al Cantone. Abbondanzialmente si rileva altresì che non vi sarebbe alcuna garanzia che gli importi di cui si chiede la deduzione vengano effettivamente versati ai creditori.</w:t>
      </w:r>
    </w:p>
    <w:p>
      <w:r>
        <w:rPr>
          <w:b/>
        </w:rPr>
        <w:t>E. 5</w:t>
      </w:r>
    </w:p>
    <w:p>
      <w:r>
        <w:t>Il ricorrente chiede che oltre ai premi della cassa malati venga tenuto conto delle franchigie. Secondo il punto 2.8   della Tabella dei minimi di esistenza l’Ufficio deve riconoscere all’escusso un importo medio mensile per spese legate alla salute che l’escusso o i suoi famigliari sopportano o sopporteranno durante il periodo di validità del pignoramento. Si deve tenere conto delle spese mediche rilevanti nella misura in cui le stesse sono imminenti al momento del pignoramento (spese mediche, farmaceutiche, ospedaliere). Lo stesso principio vale anche per le cure dentarie e per la franchigia della cassa malati (cfr. Guidicelli/Piccirilli , op. cit., n.203, p. 62). In ogni caso è sempre richiesta la produzione di documenti giustificativi per le spese sostenute o da sostenere. Orbene, dai conteggi delle prestazioni della cassa malati __________ si evince che la franchigia a carico dei __________ ammonta a fr. 400.—ciascuno. Di conseguenza si giustifica il riconoscimento di tale voce di spesa, suddivisa in 12 mensilità, nel calcolo del minimo di esistenza dell’escusso per un importo di fr. 66.-- . Per quanto attiene all’importo mensile di fr. 400.—riconosciuto dall’UEF di Riviera a titolo di cure dentarie lo stesso è da ritenere corretto, essendo tale spesa rilevabile dai conteggi per le prestazioni fornite ai coniugi __________ dal dentista __________</w:t>
      </w:r>
    </w:p>
    <w:p>
      <w:r>
        <w:rPr>
          <w:b/>
        </w:rPr>
        <w:t>E. 6</w:t>
      </w:r>
    </w:p>
    <w:p>
      <w:r>
        <w:t>E’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guidicelli/piccirilli, op.cit., n.171 ss.51, p). In casu il debitore non esercita attualmente alcuna attività lucrativa, essendo disoccupato. Inoltre egli non asserisce di dover disporre di un veicolo per cercare una nuova occupazione. Per contro il ricorrente assevera che la moglie dovrebbe utilizzare un veicolo privato per i propri spostamenti, come si evincerebbe dal certificato medico del dott. __________, prodotto con il gravame. Orbene tale richiesta non può essere accolta, in quanto la moglie dell’escusso può far capo, per i propri spostamenti ai mezzi di trasporto pubblici, poiché, pur essendo affetta da una discopatia, non risulta che abbia problemi di deambulazione. Di conseguenza l’UEF di Riviera ha agito correttamente non riconoscendo alcun importo a titolo di spese di trasferta.</w:t>
      </w:r>
    </w:p>
    <w:p>
      <w:r>
        <w:rPr>
          <w:b/>
        </w:rPr>
        <w:t>E. 7</w:t>
      </w:r>
    </w:p>
    <w:p>
      <w:r>
        <w:t>Sulla base di quanto esposto precedentemente il calcolo del minimo di esistenza si presenta come segue: Minimo di esistenza Introito debitore                                                      fr.    3'024.-- Introito moglie                                                        fr.    2'000.-- minimo base                                                          fr.    1'550.-- locazione fr.    1’100.-- cassa malati                                                           fr. 404.-- franchigia cassa malati                                         fr.        66.-- riscaldamento                                                        fr. 100.-- dentista                                                                   fr. 400.-- ass. economia domestica                                    fr.        11.-- manutenzione bruciatore                                      fr.        27.-- Totale                                                                      fr.    3'658.-- minimo vitale dell’escusso fr. 2’201.-- = 3'024.-- X 3'658.-- 5'024.-- eccedenza pignorabile: fr. 3'024.-- - fr.2'201.-- = fr. 823.--</w:t>
      </w:r>
    </w:p>
    <w:p>
      <w:r>
        <w:rPr>
          <w:b/>
        </w:rPr>
        <w:t>E. 8</w:t>
      </w:r>
    </w:p>
    <w:p>
      <w:r>
        <w:t>Ne consegue il parziale accoglimento del gravame. Sulle spese e sulle ripetibili, protestate dai ricorrenti,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18 marzo 2002 __________, è parzialmente accolto. 2. Di conseguenza il minimo di esistenza  di __________, a partire dal 1° giugno 2002, è determinato in fr. 2'201.--. 3. Non si prelevano spese, né si assegnano indennità. 4. Contro questa decisione è dato ricorso entro dieci giorni alla Camera delle esecuzioni e dei fallimenti del Tribunale federale a Losanna, per il tramite della scrivente Camera di esecuzione e fallimenti del Tribunale d’appello, in conformità dell’art. 19 LEF. 5. Intimazione a: - __________ Comunicazione all’UEF di Riviera, Biasca.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