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15.2002.45 vom 29. April 2002</w:t>
      </w:r>
    </w:p>
    <w:p>
      <w:r>
        <w:t>TI Tribunale d'appello, 2002-04-29, IT</w:t>
      </w:r>
    </w:p>
    <w:p>
      <w:r>
        <w:rPr>
          <w:b/>
        </w:rPr>
        <w:t xml:space="preserve">Quelle: </w:t>
      </w:r>
      <w:r>
        <w:t>https://mcp.opencaselaw.ch/entscheid/ti_gerichte_15.2002.45</w:t>
      </w:r>
    </w:p>
    <w:p>
      <w:r>
        <w:t>FR: TI_GERICHTE 15.2002.45 du 29 avril 2002</w:t>
      </w:r>
    </w:p>
    <w:p>
      <w:r>
        <w:t>IT: TI_GERICHTE 15.2002.45 del 29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Giusta l'art. 65 cpv. 1 cifra 2 LEF se l’esecuzione è diretta contro una società anonima gli atti esecutivi si notificano a qualunque membro dell’amministrazione o della direzione, come pure a qualunque direttore o procuratore. Ove le ricordate persone non si trovino in ufficio, la notificazione si potrà fare ad altro funzionario o impiegato (art. 65 cpv. 2 LEF).</w:t>
      </w:r>
    </w:p>
    <w:p>
      <w:r>
        <w:rPr>
          <w:b/>
        </w:rPr>
        <w:t>E. 2</w:t>
      </w:r>
    </w:p>
    <w:p>
      <w:r>
        <w:t>Per l’art. 66 cpv. 4 LEF la notifica di un atto esecutivo ad un debitore domiciliato all’estero si fa mediante pubblicazione solo se il domicilio del debitore è sconosciuto o se il debitore persiste nel sottrarsi alla notifica. Quando invece il debitore ha il proprio domicilio all'estero, la notificazione si fa per mezzo delle autorità competenti estere, o - in quanto un trattato internazionale lo preveda oppure lo Stato sul territorio del quale deve avvenire la notificazione lo ammetta - per posta (art. 66 cpv. 3 LEF). La fonte giuridica più importante in tema di rogatorie in materia civile sono le Convenzioni __________ del 1° marzo 1954 relativa alla procedura civile (__________) e del 15 novembre 1965 relativa alla notificazione e alla comunicazione all'estero degli atti giudiziari e extragiudiziari in materia civile o commerciale (__________). In particolare occorre segnalare che in virtù dell'art. 5 della Convenzione 15 novembre 1965, l’Autorità centrale dello Stato richiesto procede o fa procedere alla notificazione o alla comunicazione dell’atto "a) o secondo le forme prescritte dalla legislazione dello Stato richiesto per la notifica o la comunicazione degli atti redatti in questo Paese e che sono destinati alle persone che si trovano sul suo territorio, b) o secondo la forma particolare chiesta dal richiedente, purché tale forma non sia incompatibile con la legge dello Stato richiesto" .</w:t>
      </w:r>
    </w:p>
    <w:p>
      <w:r>
        <w:rPr>
          <w:b/>
        </w:rPr>
        <w:t>E. 3</w:t>
      </w:r>
    </w:p>
    <w:p>
      <w:r>
        <w:t>LEF e a quanto stabilito dalla citata Convenzione dell__________ del 15 novembre 1965, trasmettendo indilatamente la comminatoria di fallimento all’autorità belga competente per la notifica a __________.</w:t>
      </w:r>
    </w:p>
    <w:p>
      <w:r>
        <w:rPr>
          <w:b/>
        </w:rPr>
        <w:t>E. 4</w:t>
      </w:r>
    </w:p>
    <w:p>
      <w:r>
        <w:t>Il ricorrente assevera che, malgrado la Cancelleria comunale di Lamone avesse retrocesso la comminatoria di fallimento all’Ufficio di esecuzione di Lugano già prima del 7 febbraio 2002, lo stesso Ufficio nulla avrebbe intrapreso per provvedere alla notifica. Dalla documentazione agli atti emerge, contrariamente a quanto sostenuto dalla creditrice, che solo il 1. marzo 2002 l’UE di Lugano ha ricevuto dalla Cancelleria Comunale di __________ la comminatoria di fallimento non notificata e che lo stesso giorno l’UE l’ha poi trasmessa alla Polizia Cantonale di __________ per la relativa notifica. Anche in questo senso dunque l’operato dell’UE di Lugano è stato tempestivo e corretto.</w:t>
      </w:r>
    </w:p>
    <w:p>
      <w:r>
        <w:rPr>
          <w:b/>
        </w:rPr>
        <w:t>E. 5</w:t>
      </w:r>
    </w:p>
    <w:p>
      <w:r>
        <w:t>Il ricorso 27 marzo 2002 di __________ è dunque respinto. Sulle tasse occorre ricordare che – benché la gratuità della procedura sia contraria al sistema di diritto amministrativo in cui si muove il ricorso secondo l’art. 17 LEF ( Jean-François Poudret / Suzette Sandoz-Monod , Commentaire de la loi fédérale d’organisation judiciaire , vol. II, Berna 1990, n. 2.10 all’art. 81, pag. 804) – siffatto principio è stato codificato per espressa volontà del legislatore (art. 20a cpv. 1 primo periodo LEF e 61 cpv. 2 lett. a OTLEF; DTF 125 III 383 cons. 2a). Per lo stesso motivo non si assegnano indennità (art. 62 cpv. 2 OTLEF). richiamati gli art. 17, 65, 66 LEF; art. 5 Convenzione dell'__________ del 15 novembre 1965 (RS __________); art. 61 e 62 OTLEF, pronuncia: 1. Il ricorso 27 marzo 2002 di __________, è respinto.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Intimazione: - __________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