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15.2002.36 vom 30. Oktober 2002</w:t>
      </w:r>
    </w:p>
    <w:p>
      <w:r>
        <w:t>TI Tribunale d'appello, 2002-10-30, IT</w:t>
      </w:r>
    </w:p>
    <w:p>
      <w:r>
        <w:rPr>
          <w:b/>
        </w:rPr>
        <w:t xml:space="preserve">Quelle: </w:t>
      </w:r>
      <w:r>
        <w:t>https://mcp.opencaselaw.ch/entscheid/ti_gerichte_15.2002.36</w:t>
      </w:r>
    </w:p>
    <w:p>
      <w:r>
        <w:t>FR: TI_GERICHTE 15.2002.36 du 30 octobre 2002</w:t>
      </w:r>
    </w:p>
    <w:p>
      <w:r>
        <w:t>IT: TI_GERICHTE 15.2002.36 del 30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CCS). Per determinare il domicilio e pertanto il foro ordinario d'esecuzione deve essere fissato il luogo dove una persona risiede con l'intenzione di stabilirvisi durevolmente in modo oggettivo e riconoscibile per terzi e che è diventato il centro delle sue relazioni personali e dei suoi interessi. Normalmente il domicilio si trova nel luogo dove si alloggia, si trascorre il tempo libero e dove si trovano gli effetti personali. Secondo la prassi determinante non è la volontà interna della persona, bensì le circostanze oggettive riconoscibili per terzi. Dove si trova il luogo di domicilio di una persona non è significativo solo per essa stessa, ma soprattutto per terze persone e per le autorità e deve quindi poter essere determinato secondo criteri riconoscibili da terzi. Per la determinazione del domicilio fondamentale non è il luogo dove viene svolta la professione, bensì il luogo dove vengono intrattenute le relazioni familiari e sociali ( Ernst F. Schmid , Basler Kommentar zum SchKG, vol. I, Basilea/Ginevra/Monaco, n. 33, 35 e 36 ad art. 46 LEF). c) Dalle sue dichiarazioni emerge che __________ in __________ non dispone di un'abitazione in proprietà o locazione, dove possa disporre dei suoi effetti personali, ma è ospitata da certo __________, il quale mette a disposizione dei coniugi __________, quando si recano in __________, una stanza nella sua abitazione. Nell'ambito di una procedura volta ad ottenere in __________ il pagamento della pretesa vantata dalla __________, l'usciere del tribunale competente si è recato in __________ a __________, ossia all'indirizzo di __________ in __________. In questo luogo si trova l'abitazione del summenzionato __________. La debitrice non c'era. __________ ha dichiarato all'usciere che __________ abita per motivi di salute a __________. Circa 4-5 volte all'anno essa si reca in __________ e soggiorna con il marito presso di lui. __________ ha poi affermato che non vi erano oggetti pignorabili della debitrice (cfr. istanza 4 aprile 2002 dell'__________ e dichiarazione 26 aprile 2002 dell'Obergerichtsvollzieher __________). Secondo le sue dichiarazioni __________ abita da 4 a 6 mesi all'anno a __________, attualmente in via __________ in seguito al trasferimento da via __________. In questo appartamento, dove vive con il marito, essa dispone ovviamente dei suoi effetti personali, visto che quando si reca in __________ utilizza unicamente una camera messale a disposizione dal summenzionato __________. A __________ inoltre abita il figlio della debitrice che frequenta l'__________. Quest'ultimo pranza e trascorre i fine settimana presso i genitori, quando essi si trovano a __________. Pertanto il fatto che i coniugi __________ dispongano di un'abitazione a __________ e non in __________, che a Lugano essi trascorrano almeno da 4 a 6 mesi all'anno e che in questa città il loro figlio frequenti la scuola, indica l'intenzione della famiglia __________ di risiedere a __________ durevolmente e che __________ rappresenta il centro delle loro relazioni familiari e sociali. Sulla base delle precedenti considerazioni può pertanto oggettivamente essere affermato che, nonostante le due attestazioni di domicilio 1. febbraio risp. 16 settembre 2002 dell 'Amministrazione di __________, __________ è il luogo di domicilio di __________. Il provvedimento 15 febbraio 2002 dell'UE di Lugano va quindi annullato. All'UE di Lugano va pertanto ordinato di proseguire la procedura esecutiva n. __________ notificando l'avviso di pignoramento a __________ presso il suo domicilio a __________ in __________.</w:t>
      </w:r>
    </w:p>
    <w:p>
      <w:r>
        <w:rPr>
          <w:b/>
        </w:rPr>
        <w:t>E. 1.1</w:t>
      </w:r>
    </w:p>
    <w:p>
      <w:r>
        <w:t>Il provvedimento 15 febbraio 2002 dell'UE di Lugano è annullato.</w:t>
      </w:r>
    </w:p>
    <w:p>
      <w:r>
        <w:rPr>
          <w:b/>
        </w:rPr>
        <w:t>E. 1.2</w:t>
      </w:r>
    </w:p>
    <w:p>
      <w:r>
        <w:t>All'UE di Lugano è ordinato di proseguire l'esecuzione n. __________ promossa dalla __________ notificando a __________ l'avviso di pignoramento presso il suo domicilio di __________. 2. Non si prelevano spese e non si assegnano indennità.</w:t>
      </w:r>
    </w:p>
    <w:p>
      <w:r>
        <w:rPr>
          <w:b/>
        </w:rPr>
        <w:t>E. 2</w:t>
      </w:r>
    </w:p>
    <w:p>
      <w:r>
        <w:t>Il ricorso 26 febbraio 2002 della __________ va quindi accolto.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d'appello, in conformità dell'art. 19 LEF.</w:t>
      </w:r>
    </w:p>
    <w:p>
      <w:r>
        <w:rPr>
          <w:b/>
        </w:rPr>
        <w:t>E. 4</w:t>
      </w:r>
    </w:p>
    <w:p>
      <w:r>
        <w:t>Intimazione:        - __________ Per la Camera di esecuzione e fallimenti del Tribunale d’appello quale autorità di vigilanza Il presidente 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