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15.2002.152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https://mcp.opencaselaw.ch/entscheid/ti_gerichte_15.2002.152</w:t>
      </w:r>
    </w:p>
    <w:p>
      <w:r>
        <w:t>FR: TI_GERICHTE 15.2002.152 du 23 avril 2003</w:t>
      </w:r>
    </w:p>
    <w:p>
      <w:r>
        <w:t>IT: TI_GERICHTE 15.2002.152 del 23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Ex art.  64 cpv. 1 LEF gli atti esecutivi si notificano al debitore nella sua abitazione o nel luogo in cui suole esercitare la sua professione. Quando non vi si trovi, la notificazione può essere fatta a persona adulta della sua famiglia o ad uno dei suoi impiegati. In via di principio gli atti esecutivi devono essere notificati personalmente al debitore. Solo nel caso in cui non si riesce a trovare il debitore personalmente, la notifica può essere effettuata a persona adulta della sua famiglia o ad uno dei suoi impiegati secondo l'art. 64 cpv. 1 secondo periodo LEF (Paul Angst, Basler Kommentar zum SchKG, vol. I, Basilea/Ginevra/Monaco, n. 10 ad art. 64). b) Il PE è atto esecutivo nel senso dell'art. 64 LEF (Paul Angst, op. cit., n. 8 ad art. 64). c) Dall'interrogatorio formale dell'istante e dalla deposizione testimoniale di __________ emerge che quest'ultima non era impiegata di __________, bensì della __________ - di cui direttrice è __________ figlia dell'istante (cfr. estratto RC) - e che non era autorizzata a prendere in consegna la corrispondenza personale di __________ e tanto meno atti esecutivi emessi nei confronti di quest'ultimo. La notifica del PE in oggetto non è pertanto avvenuta correttamente. L'atto avrebbe infatti dovuto essere consegnato a __________ personalmente ex art. 64 cpv. 1 primo periodo LEF.</w:t>
      </w:r>
    </w:p>
    <w:p>
      <w:r>
        <w:rPr>
          <w:b/>
        </w:rPr>
        <w:t>E. 2</w:t>
      </w:r>
    </w:p>
    <w:p>
      <w:r>
        <w:t>a) Per l'art. 74 cpv. 1 LEF se l'escusso intende fare opposizione al precetto, deve dichiararlo verbalmente o per scritto, immediatamente a chi gli consegna il precetto o, entro dieci giorni dalla notificazione del precetto, all'ufficio d'esecuzione. Secondo l'art. 75 cpv. 1 LEF non è necessario motivare l'opposizione. b) In virtù dell'art. 33 cpv. 4 LEF, chi è stato impedito ad agire entro il termine stabilito da un ostacolo non imputabile a sua colpa può chiedere all'autorità di vigilanza o all'autorità giudiziaria competente la restituzione del termine; al contempo egli deve, entro il medesimo termine dalla cessazione dell'impedimento inoltrare la richiesta motivata e compiere presso l'autorità competente l'atto omesso. Per dottrina e costante giurisprudenza l'istanza di restituzione del termine può essere accolta se l'omissione dell'atto è dovuta ad impossibilità oggettiva, a causa di forza maggiore, a impossibilità personale non causata da colpa dell'escusso o ad un motivo di ritardo scusabile (Francis Nordmann, Basler Kommentar zum SchKG, vol. I, Basilea/Ginevra/Monaco, n. 9 ss. ad art. 33 e riferimenti ivi citati). Nel caso di specie __________ non è stato in grado di interporre opposizione al PE in esame in seguito ad impossibilità oggettiva, l'atto essendo stato consegnato non correttamente a persona estranea, che non l'ha informato in merito all'avvenuta notifica. c) L'istanza di restituzione del termine ex art. 33 cpv. 4 LEF va quindi accolta. All'UEF di Locarno va pertanto ordinato di iscrivere l'opposizione interposta da __________ a far tempo dal 6 novembre 2002 (giorno in cui l'UEF di Locarno ha ricevuto copia dell'istanza 30 ottobre 2002) nella procedura esecutiva __________ promossa dal __________.</w:t>
      </w:r>
    </w:p>
    <w:p>
      <w:r>
        <w:rPr>
          <w:b/>
        </w:rPr>
        <w:t>E. 3</w:t>
      </w:r>
    </w:p>
    <w:p>
      <w:r>
        <w:t>Non si preleva la tassa di giustizia e non si assegnano indennità (art. 20a cpv. 1 primo periodo LEF, 61 cpv. 2 lett. a e 62 cpv. 2 OTLEF). Richiamati gli art. 33 cpv. 4, 64, 74 e 75 LEF pronuncia 1.   L'istanza 30 ottobre __________, di restituzione del termine per interporre opposizione è accolta. 1.1.   All'UEF di Locarno è fatto ordine di iscrivere l'opposizione interposta da __________, nella procedura esecutiva n. __________ promossa dal __________ a far tempo dal</w:t>
      </w:r>
    </w:p>
    <w:p>
      <w:r>
        <w:rPr>
          <w:b/>
        </w:rPr>
        <w:t>E. 6</w:t>
      </w:r>
    </w:p>
    <w:p>
      <w:r>
        <w:t>novembre 2002. 2.   Non si prelevano spese e non si assegnano indennità. 3.   Contro questa decisione è dato ricorso entro 10 giorni alla Camera delle esecuzioni e dei fallimenti del Tribunale federale, Losanna, per il tramite della scrivente Camera di esecuzione e fallimenti del Tribunale di appello, in conformità dell'art. 19 LEF. 4.   Intimazione: -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