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15.2002.150 vom 11. Juni 2003</w:t>
      </w:r>
    </w:p>
    <w:p>
      <w:r>
        <w:t>TI Tribunale d'appello, 2003-06-11, IT</w:t>
      </w:r>
    </w:p>
    <w:p>
      <w:r>
        <w:rPr>
          <w:b/>
        </w:rPr>
        <w:t xml:space="preserve">Quelle: </w:t>
      </w:r>
      <w:r>
        <w:t>https://mcp.opencaselaw.ch/entscheid/ti_gerichte_15.2002.150</w:t>
      </w:r>
    </w:p>
    <w:p>
      <w:r>
        <w:t>FR: TI_GERICHTE 15.2002.150 du 11 juin 2003</w:t>
      </w:r>
    </w:p>
    <w:p>
      <w:r>
        <w:t>IT: TI_GERICHTE 15.2002.150 del 11 giugno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11.06.2003 15.2002.150</w:t>
      </w:r>
    </w:p>
    <w:p>
      <w:r>
        <w:t>Sentenza o decisione senza scheda</w:t>
      </w:r>
    </w:p>
    <w:p>
      <w:r>
        <w:t>Incarto n. 15.2002.150 Lugano 11 giugno 2003 EC/fc/fb In nome della Repubblica e Cantone del Ticino La Camera di esecuzione e fallimenti del Tribunale d'appello quale autorità di vigilanza composta dei giudici: Cometta, presidente, Pellegrini e Chiesa segretario: Cassina, vicecancelliere statuendo sul ricorso 7 ottobre 2002 di __________ Contro l’operato dell’ Ufficio di esecuzione e fallimenti di Bellinzona nell’esecuzione n. __________ promossa contro il ricorrente da __________ Rappr. da __________ preso atto che in data 14 ottobre 2002 __________ ha saldato presso l'UEF di Bellinzona l’importo di cui all’esecuzione n. __________; considerato che il gravame sia così divenuto privo di oggetto, atteso che l'estinzione del debito posto in esecuzione comporta la revoca dell’avviso di pignoramento in quanto riferito a detta procedura esecutiva; non si prelava la tassa di giustizia e non si assegnano indennità (art. 20a cpv. 1 primo periodo LEF, 61 cpv. 2 lett. a e art. 62 cpv. 2 OTLEF); richiamati gli art. 20a cpv. 1 primo periodo LEF, 61 cpv. 2 lett. a e 62 cpv. 2 OTLEF; pronuncia:           1. Il ricorso 7 ottobre 2002 di __________, è stralciato dai ruoli perché divenuto privo di oggetto. 2. Non si prelevano tasse,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 - __________ Comunicazione all'UEF di Bellinzona. Per la Camera di esecuzione e fallimenti del Tribunale d’appello quale autorità di vigilanza Il presidente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