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15.2002.136 vom 13. November 2002</w:t>
      </w:r>
    </w:p>
    <w:p>
      <w:r>
        <w:t>TI Tribunale d'appello, 2002-11-13, IT</w:t>
      </w:r>
    </w:p>
    <w:p>
      <w:r>
        <w:rPr>
          <w:b/>
        </w:rPr>
        <w:t xml:space="preserve">Quelle: </w:t>
      </w:r>
      <w:r>
        <w:t>https://mcp.opencaselaw.ch/entscheid/ti_gerichte_15.2002.136</w:t>
      </w:r>
    </w:p>
    <w:p>
      <w:r>
        <w:t>FR: TI_GERICHTE 15.2002.136 du 13 novembre 2002</w:t>
      </w:r>
    </w:p>
    <w:p>
      <w:r>
        <w:t>IT: TI_GERICHTE 15.2002.136 del 13 novembre 2002</w:t>
      </w:r>
    </w:p>
    <w:p>
      <w:pPr>
        <w:pStyle w:val="Heading2"/>
      </w:pPr>
      <w:r>
        <w:t>Regeste</w:t>
      </w:r>
    </w:p>
    <w:p>
      <w:r>
        <w:t>Sentenza o decisione senza scheda</w:t>
      </w:r>
    </w:p>
    <w:p>
      <w:pPr>
        <w:pStyle w:val="Heading2"/>
      </w:pPr>
      <w:r>
        <w:t>Erwägungen</w:t>
      </w:r>
    </w:p>
    <w:p>
      <w:r>
        <w:rPr>
          <w:b/>
        </w:rPr>
        <w:t>E. 10</w:t>
      </w:r>
    </w:p>
    <w:p>
      <w:r>
        <w:t>luglio 2002, ossia dopo un anno dalla crescita in giudicato della sentenza del TCA, e che dalla notifica del PE, avvenuta l'11 febbraio 2000, fino alla richiesta di rigetto dell'opposizione del 4 aprile 2002 erano già trascorsi 1 mese e 24 giorni, l'anno di validità del PE previsto dall'art. 88 cpv. 2 LEF era pienamente trascorso. c) L'inoltro di diverse esecuzioni per lo stesso credito è inammissibile soltanto se il creditore ha già chiesto il proseguimento in una delle esecuzioni precedenti o è grado di chiederlo (cfr. DTF 100 III 42 s.). In casu la __________ era legittimata a promuovere con domanda 16 luglio 2002 per lo stesso credito una nuova esecuzione e l'UE di Lugano ha agito correttamente emettendo il PE n. __________, ritenuto che la procedura esecutiva n. __________, come si è visto al precedente considerando, non poteva più essere proseguita, essendo perenta. Alla ricorrente va ricordato che soltanto l'abuso manifesto di un diritto non è protetto dalla legge (art. 2 cpv. 2 CC), principio che va interpretato in modo particolarmente restrittivo in materia esecutiva visto il limitato potere di cognizione dell’ufficio di esecuzione (cfr. Flavio Cometta , Il giudice del diritto esecutivo e il principio della buona fede, in: SJZ 1991, p. 297 ss.; Wüthrich/Schoch , Basler Kommentar zum SchKG, Basilea/Ginevra/Monaco 1998, vol. I, n. 15 ad art. 69) e l’esistenza di mezzi di diritto a favore dell’escusso per difendere i propri interessi (cfr. art. 85 e 85a LEF; azione di accertamento dell’inesistenza di un credito, cfr. DTF 125 III 149 ss. ). In casu non è dato alcun abuso di diritto da parte dell'UE di Lugano. 2. Il ricorso 16 ottobre 2002 di __________ va quindi respinto, la ricorrente non avendo in sostanza corretta nozione della differenza tra perenzione dell’esecuzione e prescrizione del credito dedotto in esecuzione, per il quale valgono i principi del CO (art. 127 ss. CO). Nel caso di specie, trattandosi di credito accertato in sentenza, vale il termine di prescrizione di dieci anni ex. art. 127 CO). 3.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e 88 LEF Pronuncia: 1. Il ricorso 16 settembre 2002 di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