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15.2002.119 vom 22. Oktober 2002</w:t>
      </w:r>
    </w:p>
    <w:p>
      <w:r>
        <w:t>TI Tribunale d'appello, 2002-10-22, IT</w:t>
      </w:r>
    </w:p>
    <w:p>
      <w:r>
        <w:rPr>
          <w:b/>
        </w:rPr>
        <w:t xml:space="preserve">Quelle: </w:t>
      </w:r>
      <w:r>
        <w:t>https://mcp.opencaselaw.ch/entscheid/ti_gerichte_15.2002.119</w:t>
      </w:r>
    </w:p>
    <w:p>
      <w:r>
        <w:t>FR: TI_GERICHTE 15.2002.119 du 22 octobre 2002</w:t>
      </w:r>
    </w:p>
    <w:p>
      <w:r>
        <w:t>IT: TI_GERICHTE 15.2002.119 del 22 ottobre 2002</w:t>
      </w:r>
    </w:p>
    <w:p>
      <w:pPr>
        <w:pStyle w:val="Heading2"/>
      </w:pPr>
      <w:r>
        <w:t>Regeste</w:t>
      </w:r>
    </w:p>
    <w:p>
      <w:r>
        <w:t>Sentenza o decisione senza scheda</w:t>
      </w:r>
    </w:p>
    <w:p>
      <w:pPr>
        <w:pStyle w:val="Heading2"/>
      </w:pPr>
      <w:r>
        <w:t>Erwägungen</w:t>
      </w:r>
    </w:p>
    <w:p>
      <w:r>
        <w:rPr>
          <w:b/>
        </w:rPr>
        <w:t>E. 9</w:t>
      </w:r>
    </w:p>
    <w:p>
      <w:r>
        <w:t>settembre 2002 [15.2002.115], cons. 3.5b); che qualora la ricorrente dovesse persistere a sottrarsi ai propri obblighi, salvo la comparizione personale nell'ipotesi che lo stato valetudinario al momento della citazione non lo consenta, l’UE di Lugano dovrà segnalare il caso alla Procura pubblica (cfr. art. 323 n. 2 CP) e potrà richiedere l’aiuto dell’autorità di polizia (cfr. art. 91 cpv. 3 LEF per analogia); che va ricordato all’escussa che è nel proprio interesse collaborare nella misura del possibile con l’UE di Lugano per permettere a quest’ultimo di ultimare la fase di pignoramento, ciò che le consentirà poi di far valere i propri diritti nella procedura di exequatur così come nella procedura esecutiva; che pertanto il ricorso va respinto; che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che per lo stesso motivo non si assegnano indennità (art. 62 cpv. 2 OTLEF). Richiamati gli art. 17, 61, 91 LEF; 39 CL; 61 e 62 OTLEF; pronuncia: 1. Il ricorso 12 settembre 2002 di __________, vedova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